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40A73AE">
      <w:pPr>
        <w:spacing w:line="720" w:lineRule="auto"/>
        <w:jc w:val="center"/>
        <w:rPr>
          <w:b/>
          <w:bCs/>
          <w:sz w:val="44"/>
          <w:szCs w:val="44"/>
        </w:rPr>
      </w:pPr>
      <w:r>
        <w:rPr>
          <w:rFonts w:hint="eastAsia"/>
          <w:b/>
          <w:bCs/>
          <w:sz w:val="44"/>
          <w:szCs w:val="44"/>
          <w:lang w:val="en-US" w:eastAsia="zh-CN"/>
        </w:rPr>
        <w:t>泸州市泸燊新能源</w:t>
      </w:r>
      <w:r>
        <w:rPr>
          <w:rFonts w:hint="eastAsia"/>
          <w:b/>
          <w:bCs/>
          <w:sz w:val="44"/>
          <w:szCs w:val="44"/>
        </w:rPr>
        <w:t>有限公司</w:t>
      </w:r>
    </w:p>
    <w:p w14:paraId="131625BA">
      <w:pPr>
        <w:spacing w:line="720" w:lineRule="auto"/>
        <w:jc w:val="center"/>
        <w:rPr>
          <w:b/>
          <w:bCs/>
          <w:sz w:val="48"/>
          <w:szCs w:val="48"/>
        </w:rPr>
      </w:pPr>
    </w:p>
    <w:p w14:paraId="4E0AA498">
      <w:pPr>
        <w:spacing w:line="720" w:lineRule="auto"/>
        <w:jc w:val="center"/>
        <w:rPr>
          <w:b/>
          <w:bCs/>
          <w:sz w:val="48"/>
          <w:szCs w:val="48"/>
        </w:rPr>
      </w:pPr>
    </w:p>
    <w:p w14:paraId="44B06B8B">
      <w:pPr>
        <w:ind w:firstLine="154" w:firstLineChars="48"/>
        <w:jc w:val="center"/>
        <w:rPr>
          <w:rFonts w:ascii="宋体" w:hAnsi="宋体"/>
          <w:b/>
          <w:sz w:val="32"/>
          <w:szCs w:val="32"/>
        </w:rPr>
      </w:pPr>
      <w:r>
        <w:rPr>
          <w:rFonts w:hint="eastAsia" w:ascii="宋体" w:hAnsi="宋体"/>
          <w:b/>
          <w:sz w:val="32"/>
          <w:szCs w:val="32"/>
          <w:lang w:val="en-US" w:eastAsia="zh-CN"/>
        </w:rPr>
        <w:t>外委检修</w:t>
      </w:r>
      <w:r>
        <w:rPr>
          <w:rFonts w:hint="eastAsia" w:ascii="宋体" w:hAnsi="宋体"/>
          <w:b/>
          <w:sz w:val="32"/>
          <w:szCs w:val="32"/>
        </w:rPr>
        <w:t>维护技术规范书</w:t>
      </w:r>
    </w:p>
    <w:p w14:paraId="5C357BED">
      <w:pPr>
        <w:ind w:firstLine="3373" w:firstLineChars="700"/>
        <w:rPr>
          <w:rFonts w:eastAsia="黑体"/>
          <w:b/>
          <w:bCs/>
          <w:sz w:val="48"/>
        </w:rPr>
      </w:pPr>
    </w:p>
    <w:p w14:paraId="73B655BF">
      <w:pPr>
        <w:ind w:firstLine="3373" w:firstLineChars="700"/>
        <w:rPr>
          <w:rFonts w:eastAsia="黑体"/>
          <w:b/>
          <w:bCs/>
          <w:sz w:val="48"/>
        </w:rPr>
      </w:pPr>
    </w:p>
    <w:p w14:paraId="53B2F9F8">
      <w:pPr>
        <w:spacing w:before="936" w:beforeLines="300" w:after="312" w:afterLines="100" w:line="360" w:lineRule="auto"/>
        <w:jc w:val="center"/>
        <w:rPr>
          <w:rFonts w:ascii="宋体" w:hAnsi="宋体"/>
          <w:b/>
          <w:sz w:val="28"/>
          <w:szCs w:val="28"/>
        </w:rPr>
      </w:pPr>
    </w:p>
    <w:p w14:paraId="5F28FDA4">
      <w:pPr>
        <w:ind w:left="1081" w:leftChars="515" w:firstLine="643" w:firstLineChars="200"/>
        <w:jc w:val="left"/>
        <w:rPr>
          <w:b/>
          <w:bCs/>
          <w:sz w:val="32"/>
          <w:szCs w:val="32"/>
          <w:u w:val="single"/>
        </w:rPr>
      </w:pPr>
    </w:p>
    <w:p w14:paraId="156CCB92">
      <w:pPr>
        <w:spacing w:line="312" w:lineRule="auto"/>
        <w:rPr>
          <w:b/>
          <w:bCs/>
          <w:sz w:val="28"/>
          <w:szCs w:val="28"/>
        </w:rPr>
      </w:pPr>
    </w:p>
    <w:p w14:paraId="1CB774E4">
      <w:pPr>
        <w:spacing w:line="480" w:lineRule="auto"/>
        <w:jc w:val="center"/>
        <w:rPr>
          <w:rFonts w:ascii="宋体" w:hAnsi="宋体"/>
          <w:b/>
          <w:bCs/>
          <w:spacing w:val="20"/>
          <w:sz w:val="28"/>
          <w:szCs w:val="28"/>
        </w:rPr>
      </w:pPr>
    </w:p>
    <w:p w14:paraId="576F5443">
      <w:pPr>
        <w:pStyle w:val="2"/>
        <w:rPr>
          <w:rFonts w:ascii="宋体" w:hAnsi="宋体"/>
          <w:b/>
          <w:bCs/>
          <w:spacing w:val="20"/>
          <w:sz w:val="28"/>
          <w:szCs w:val="28"/>
        </w:rPr>
      </w:pPr>
    </w:p>
    <w:p w14:paraId="4AC529C2">
      <w:pPr>
        <w:rPr>
          <w:rFonts w:ascii="宋体" w:hAnsi="宋体"/>
          <w:b/>
          <w:bCs/>
          <w:spacing w:val="20"/>
          <w:sz w:val="28"/>
          <w:szCs w:val="28"/>
        </w:rPr>
      </w:pPr>
    </w:p>
    <w:p w14:paraId="25974B86">
      <w:pPr>
        <w:pStyle w:val="2"/>
        <w:rPr>
          <w:rFonts w:ascii="宋体" w:hAnsi="宋体"/>
          <w:b/>
          <w:bCs/>
          <w:spacing w:val="20"/>
          <w:sz w:val="28"/>
          <w:szCs w:val="28"/>
        </w:rPr>
      </w:pPr>
    </w:p>
    <w:p w14:paraId="0DF2DC90">
      <w:pPr>
        <w:rPr>
          <w:rFonts w:ascii="宋体" w:hAnsi="宋体"/>
          <w:b/>
          <w:bCs/>
          <w:spacing w:val="20"/>
          <w:sz w:val="28"/>
          <w:szCs w:val="28"/>
        </w:rPr>
      </w:pPr>
    </w:p>
    <w:p w14:paraId="2F1212CE">
      <w:pPr>
        <w:pStyle w:val="2"/>
        <w:rPr>
          <w:rFonts w:ascii="宋体" w:hAnsi="宋体"/>
          <w:b/>
          <w:bCs/>
          <w:spacing w:val="20"/>
          <w:sz w:val="28"/>
          <w:szCs w:val="28"/>
        </w:rPr>
      </w:pPr>
    </w:p>
    <w:p w14:paraId="5EA1C107">
      <w:pPr>
        <w:rPr>
          <w:rFonts w:ascii="宋体" w:hAnsi="宋体"/>
          <w:b/>
          <w:bCs/>
          <w:spacing w:val="20"/>
          <w:sz w:val="28"/>
          <w:szCs w:val="28"/>
        </w:rPr>
      </w:pPr>
    </w:p>
    <w:p w14:paraId="2024B520">
      <w:pPr>
        <w:pStyle w:val="2"/>
      </w:pPr>
    </w:p>
    <w:p w14:paraId="39A76F5E">
      <w:pPr>
        <w:jc w:val="center"/>
        <w:rPr>
          <w:rFonts w:ascii="黑体" w:hAnsi="黑体" w:eastAsia="黑体"/>
          <w:sz w:val="44"/>
          <w:szCs w:val="44"/>
        </w:rPr>
      </w:pPr>
      <w:bookmarkStart w:id="0" w:name="_Toc407096334"/>
      <w:r>
        <w:rPr>
          <w:rFonts w:hint="eastAsia" w:ascii="黑体" w:hAnsi="黑体" w:eastAsia="黑体"/>
          <w:sz w:val="44"/>
          <w:szCs w:val="44"/>
        </w:rPr>
        <w:t>目录</w:t>
      </w:r>
      <w:bookmarkEnd w:id="0"/>
    </w:p>
    <w:p w14:paraId="5B1C4858">
      <w:pPr>
        <w:jc w:val="center"/>
        <w:rPr>
          <w:rFonts w:ascii="黑体" w:hAnsi="黑体" w:eastAsia="黑体"/>
          <w:sz w:val="44"/>
          <w:szCs w:val="44"/>
        </w:rPr>
      </w:pPr>
    </w:p>
    <w:p w14:paraId="535800A9">
      <w:pPr>
        <w:pStyle w:val="25"/>
        <w:keepNext w:val="0"/>
        <w:keepLines w:val="0"/>
        <w:pageBreakBefore w:val="0"/>
        <w:widowControl w:val="0"/>
        <w:tabs>
          <w:tab w:val="right" w:leader="dot" w:pos="8306"/>
        </w:tabs>
        <w:kinsoku/>
        <w:wordWrap/>
        <w:overflowPunct/>
        <w:topLinePunct w:val="0"/>
        <w:autoSpaceDE/>
        <w:autoSpaceDN/>
        <w:bidi w:val="0"/>
        <w:adjustRightInd/>
        <w:snapToGrid/>
        <w:spacing w:line="640" w:lineRule="exact"/>
        <w:textAlignment w:val="auto"/>
        <w:rPr>
          <w:sz w:val="24"/>
          <w:szCs w:val="24"/>
        </w:rPr>
      </w:pPr>
      <w:r>
        <w:rPr>
          <w:rFonts w:ascii="黑体" w:hAnsi="黑体" w:eastAsia="黑体"/>
          <w:sz w:val="28"/>
          <w:szCs w:val="28"/>
        </w:rPr>
        <w:fldChar w:fldCharType="begin"/>
      </w:r>
      <w:r>
        <w:rPr>
          <w:rFonts w:ascii="黑体" w:hAnsi="黑体" w:eastAsia="黑体"/>
          <w:sz w:val="28"/>
          <w:szCs w:val="28"/>
        </w:rPr>
        <w:instrText xml:space="preserve"> TOC \o "1-2" \h \z \u </w:instrText>
      </w:r>
      <w:r>
        <w:rPr>
          <w:rFonts w:ascii="黑体" w:hAnsi="黑体" w:eastAsia="黑体"/>
          <w:sz w:val="28"/>
          <w:szCs w:val="28"/>
        </w:rPr>
        <w:fldChar w:fldCharType="separate"/>
      </w:r>
      <w:r>
        <w:rPr>
          <w:rFonts w:ascii="黑体" w:hAnsi="黑体" w:eastAsia="黑体"/>
          <w:sz w:val="24"/>
          <w:szCs w:val="24"/>
        </w:rPr>
        <w:fldChar w:fldCharType="begin"/>
      </w:r>
      <w:r>
        <w:rPr>
          <w:rFonts w:ascii="黑体" w:hAnsi="黑体" w:eastAsia="黑体"/>
          <w:sz w:val="24"/>
          <w:szCs w:val="24"/>
        </w:rPr>
        <w:instrText xml:space="preserve"> HYPERLINK \l _Toc7044 </w:instrText>
      </w:r>
      <w:r>
        <w:rPr>
          <w:rFonts w:ascii="黑体" w:hAnsi="黑体" w:eastAsia="黑体"/>
          <w:sz w:val="24"/>
          <w:szCs w:val="24"/>
        </w:rPr>
        <w:fldChar w:fldCharType="separate"/>
      </w:r>
      <w:r>
        <w:rPr>
          <w:rFonts w:hint="eastAsia"/>
          <w:sz w:val="24"/>
          <w:szCs w:val="24"/>
        </w:rPr>
        <w:t>第一章 总则</w:t>
      </w:r>
      <w:r>
        <w:rPr>
          <w:sz w:val="24"/>
          <w:szCs w:val="24"/>
        </w:rPr>
        <w:tab/>
      </w:r>
      <w:r>
        <w:rPr>
          <w:sz w:val="24"/>
          <w:szCs w:val="24"/>
        </w:rPr>
        <w:fldChar w:fldCharType="begin"/>
      </w:r>
      <w:r>
        <w:rPr>
          <w:sz w:val="24"/>
          <w:szCs w:val="24"/>
        </w:rPr>
        <w:instrText xml:space="preserve"> PAGEREF _Toc7044 \h </w:instrText>
      </w:r>
      <w:r>
        <w:rPr>
          <w:sz w:val="24"/>
          <w:szCs w:val="24"/>
        </w:rPr>
        <w:fldChar w:fldCharType="separate"/>
      </w:r>
      <w:r>
        <w:rPr>
          <w:sz w:val="24"/>
          <w:szCs w:val="24"/>
        </w:rPr>
        <w:t>1</w:t>
      </w:r>
      <w:r>
        <w:rPr>
          <w:sz w:val="24"/>
          <w:szCs w:val="24"/>
        </w:rPr>
        <w:fldChar w:fldCharType="end"/>
      </w:r>
      <w:r>
        <w:rPr>
          <w:rFonts w:ascii="黑体" w:hAnsi="黑体" w:eastAsia="黑体"/>
          <w:sz w:val="24"/>
          <w:szCs w:val="24"/>
        </w:rPr>
        <w:fldChar w:fldCharType="end"/>
      </w:r>
    </w:p>
    <w:p w14:paraId="1CC328D9">
      <w:pPr>
        <w:pStyle w:val="25"/>
        <w:keepNext w:val="0"/>
        <w:keepLines w:val="0"/>
        <w:pageBreakBefore w:val="0"/>
        <w:widowControl w:val="0"/>
        <w:tabs>
          <w:tab w:val="right" w:leader="dot" w:pos="8306"/>
        </w:tabs>
        <w:kinsoku/>
        <w:wordWrap/>
        <w:overflowPunct/>
        <w:topLinePunct w:val="0"/>
        <w:autoSpaceDE/>
        <w:autoSpaceDN/>
        <w:bidi w:val="0"/>
        <w:adjustRightInd/>
        <w:snapToGrid/>
        <w:spacing w:line="640" w:lineRule="exact"/>
        <w:textAlignment w:val="auto"/>
        <w:rPr>
          <w:sz w:val="24"/>
          <w:szCs w:val="24"/>
        </w:rPr>
      </w:pPr>
      <w:r>
        <w:rPr>
          <w:rFonts w:ascii="黑体" w:hAnsi="黑体" w:eastAsia="黑体"/>
          <w:sz w:val="24"/>
          <w:szCs w:val="24"/>
        </w:rPr>
        <w:fldChar w:fldCharType="begin"/>
      </w:r>
      <w:r>
        <w:rPr>
          <w:rFonts w:ascii="黑体" w:hAnsi="黑体" w:eastAsia="黑体"/>
          <w:sz w:val="24"/>
          <w:szCs w:val="24"/>
        </w:rPr>
        <w:instrText xml:space="preserve"> HYPERLINK \l _Toc16482 </w:instrText>
      </w:r>
      <w:r>
        <w:rPr>
          <w:rFonts w:ascii="黑体" w:hAnsi="黑体" w:eastAsia="黑体"/>
          <w:sz w:val="24"/>
          <w:szCs w:val="24"/>
        </w:rPr>
        <w:fldChar w:fldCharType="separate"/>
      </w:r>
      <w:r>
        <w:rPr>
          <w:rFonts w:hint="eastAsia"/>
          <w:sz w:val="24"/>
          <w:szCs w:val="24"/>
        </w:rPr>
        <w:t>第二章 技术规范</w:t>
      </w:r>
      <w:r>
        <w:rPr>
          <w:sz w:val="24"/>
          <w:szCs w:val="24"/>
        </w:rPr>
        <w:tab/>
      </w:r>
      <w:r>
        <w:rPr>
          <w:sz w:val="24"/>
          <w:szCs w:val="24"/>
        </w:rPr>
        <w:fldChar w:fldCharType="begin"/>
      </w:r>
      <w:r>
        <w:rPr>
          <w:sz w:val="24"/>
          <w:szCs w:val="24"/>
        </w:rPr>
        <w:instrText xml:space="preserve"> PAGEREF _Toc16482 \h </w:instrText>
      </w:r>
      <w:r>
        <w:rPr>
          <w:sz w:val="24"/>
          <w:szCs w:val="24"/>
        </w:rPr>
        <w:fldChar w:fldCharType="separate"/>
      </w:r>
      <w:r>
        <w:rPr>
          <w:sz w:val="24"/>
          <w:szCs w:val="24"/>
        </w:rPr>
        <w:t>1</w:t>
      </w:r>
      <w:r>
        <w:rPr>
          <w:sz w:val="24"/>
          <w:szCs w:val="24"/>
        </w:rPr>
        <w:fldChar w:fldCharType="end"/>
      </w:r>
      <w:r>
        <w:rPr>
          <w:rFonts w:ascii="黑体" w:hAnsi="黑体" w:eastAsia="黑体"/>
          <w:sz w:val="24"/>
          <w:szCs w:val="24"/>
        </w:rPr>
        <w:fldChar w:fldCharType="end"/>
      </w:r>
    </w:p>
    <w:p w14:paraId="29D624D8">
      <w:pPr>
        <w:pStyle w:val="29"/>
        <w:keepNext w:val="0"/>
        <w:keepLines w:val="0"/>
        <w:pageBreakBefore w:val="0"/>
        <w:widowControl w:val="0"/>
        <w:tabs>
          <w:tab w:val="right" w:leader="dot" w:pos="8306"/>
        </w:tabs>
        <w:kinsoku/>
        <w:wordWrap/>
        <w:overflowPunct/>
        <w:topLinePunct w:val="0"/>
        <w:autoSpaceDE/>
        <w:autoSpaceDN/>
        <w:bidi w:val="0"/>
        <w:adjustRightInd/>
        <w:snapToGrid/>
        <w:spacing w:line="640" w:lineRule="exact"/>
        <w:textAlignment w:val="auto"/>
        <w:rPr>
          <w:sz w:val="24"/>
          <w:szCs w:val="24"/>
        </w:rPr>
      </w:pPr>
      <w:r>
        <w:rPr>
          <w:rFonts w:ascii="黑体" w:hAnsi="黑体" w:eastAsia="黑体"/>
          <w:sz w:val="24"/>
          <w:szCs w:val="24"/>
        </w:rPr>
        <w:fldChar w:fldCharType="begin"/>
      </w:r>
      <w:r>
        <w:rPr>
          <w:rFonts w:ascii="黑体" w:hAnsi="黑体" w:eastAsia="黑体"/>
          <w:sz w:val="24"/>
          <w:szCs w:val="24"/>
        </w:rPr>
        <w:instrText xml:space="preserve"> HYPERLINK \l _Toc5673 </w:instrText>
      </w:r>
      <w:r>
        <w:rPr>
          <w:rFonts w:ascii="黑体" w:hAnsi="黑体" w:eastAsia="黑体"/>
          <w:sz w:val="24"/>
          <w:szCs w:val="24"/>
        </w:rPr>
        <w:fldChar w:fldCharType="separate"/>
      </w:r>
      <w:r>
        <w:rPr>
          <w:rFonts w:hint="eastAsia"/>
          <w:sz w:val="24"/>
          <w:szCs w:val="24"/>
        </w:rPr>
        <w:t>一、 设备概况（概况依据设计图纸编制，最终以现场实际为准）</w:t>
      </w:r>
      <w:r>
        <w:rPr>
          <w:sz w:val="24"/>
          <w:szCs w:val="24"/>
        </w:rPr>
        <w:tab/>
      </w:r>
      <w:r>
        <w:rPr>
          <w:sz w:val="24"/>
          <w:szCs w:val="24"/>
        </w:rPr>
        <w:fldChar w:fldCharType="begin"/>
      </w:r>
      <w:r>
        <w:rPr>
          <w:sz w:val="24"/>
          <w:szCs w:val="24"/>
        </w:rPr>
        <w:instrText xml:space="preserve"> PAGEREF _Toc5673 \h </w:instrText>
      </w:r>
      <w:r>
        <w:rPr>
          <w:sz w:val="24"/>
          <w:szCs w:val="24"/>
        </w:rPr>
        <w:fldChar w:fldCharType="separate"/>
      </w:r>
      <w:r>
        <w:rPr>
          <w:sz w:val="24"/>
          <w:szCs w:val="24"/>
        </w:rPr>
        <w:t>1</w:t>
      </w:r>
      <w:r>
        <w:rPr>
          <w:sz w:val="24"/>
          <w:szCs w:val="24"/>
        </w:rPr>
        <w:fldChar w:fldCharType="end"/>
      </w:r>
      <w:r>
        <w:rPr>
          <w:rFonts w:ascii="黑体" w:hAnsi="黑体" w:eastAsia="黑体"/>
          <w:sz w:val="24"/>
          <w:szCs w:val="24"/>
        </w:rPr>
        <w:fldChar w:fldCharType="end"/>
      </w:r>
    </w:p>
    <w:p w14:paraId="6D654CF6">
      <w:pPr>
        <w:pStyle w:val="29"/>
        <w:keepNext w:val="0"/>
        <w:keepLines w:val="0"/>
        <w:pageBreakBefore w:val="0"/>
        <w:widowControl w:val="0"/>
        <w:tabs>
          <w:tab w:val="right" w:leader="dot" w:pos="8306"/>
        </w:tabs>
        <w:kinsoku/>
        <w:wordWrap/>
        <w:overflowPunct/>
        <w:topLinePunct w:val="0"/>
        <w:autoSpaceDE/>
        <w:autoSpaceDN/>
        <w:bidi w:val="0"/>
        <w:adjustRightInd/>
        <w:snapToGrid/>
        <w:spacing w:line="640" w:lineRule="exact"/>
        <w:textAlignment w:val="auto"/>
        <w:rPr>
          <w:sz w:val="24"/>
          <w:szCs w:val="24"/>
        </w:rPr>
      </w:pPr>
      <w:r>
        <w:rPr>
          <w:rFonts w:ascii="黑体" w:hAnsi="黑体" w:eastAsia="黑体"/>
          <w:sz w:val="24"/>
          <w:szCs w:val="24"/>
        </w:rPr>
        <w:fldChar w:fldCharType="begin"/>
      </w:r>
      <w:r>
        <w:rPr>
          <w:rFonts w:ascii="黑体" w:hAnsi="黑体" w:eastAsia="黑体"/>
          <w:sz w:val="24"/>
          <w:szCs w:val="24"/>
        </w:rPr>
        <w:instrText xml:space="preserve"> HYPERLINK \l _Toc11681 </w:instrText>
      </w:r>
      <w:r>
        <w:rPr>
          <w:rFonts w:ascii="黑体" w:hAnsi="黑体" w:eastAsia="黑体"/>
          <w:sz w:val="24"/>
          <w:szCs w:val="24"/>
        </w:rPr>
        <w:fldChar w:fldCharType="separate"/>
      </w:r>
      <w:r>
        <w:rPr>
          <w:rFonts w:hint="eastAsia"/>
          <w:sz w:val="24"/>
          <w:szCs w:val="24"/>
        </w:rPr>
        <w:t xml:space="preserve">二、 </w:t>
      </w:r>
      <w:r>
        <w:rPr>
          <w:rFonts w:hint="eastAsia"/>
          <w:sz w:val="24"/>
          <w:szCs w:val="24"/>
          <w:highlight w:val="none"/>
        </w:rPr>
        <w:t>工作范围（范围依据设计图纸编制，最终以现场实际为准）</w:t>
      </w:r>
      <w:r>
        <w:rPr>
          <w:sz w:val="24"/>
          <w:szCs w:val="24"/>
        </w:rPr>
        <w:tab/>
      </w:r>
      <w:r>
        <w:rPr>
          <w:sz w:val="24"/>
          <w:szCs w:val="24"/>
        </w:rPr>
        <w:fldChar w:fldCharType="begin"/>
      </w:r>
      <w:r>
        <w:rPr>
          <w:sz w:val="24"/>
          <w:szCs w:val="24"/>
        </w:rPr>
        <w:instrText xml:space="preserve"> PAGEREF _Toc11681 \h </w:instrText>
      </w:r>
      <w:r>
        <w:rPr>
          <w:sz w:val="24"/>
          <w:szCs w:val="24"/>
        </w:rPr>
        <w:fldChar w:fldCharType="separate"/>
      </w:r>
      <w:r>
        <w:rPr>
          <w:sz w:val="24"/>
          <w:szCs w:val="24"/>
        </w:rPr>
        <w:t>5</w:t>
      </w:r>
      <w:r>
        <w:rPr>
          <w:sz w:val="24"/>
          <w:szCs w:val="24"/>
        </w:rPr>
        <w:fldChar w:fldCharType="end"/>
      </w:r>
      <w:r>
        <w:rPr>
          <w:rFonts w:ascii="黑体" w:hAnsi="黑体" w:eastAsia="黑体"/>
          <w:sz w:val="24"/>
          <w:szCs w:val="24"/>
        </w:rPr>
        <w:fldChar w:fldCharType="end"/>
      </w:r>
    </w:p>
    <w:p w14:paraId="14EAAB11">
      <w:pPr>
        <w:pStyle w:val="29"/>
        <w:keepNext w:val="0"/>
        <w:keepLines w:val="0"/>
        <w:pageBreakBefore w:val="0"/>
        <w:widowControl w:val="0"/>
        <w:tabs>
          <w:tab w:val="right" w:leader="dot" w:pos="8306"/>
        </w:tabs>
        <w:kinsoku/>
        <w:wordWrap/>
        <w:overflowPunct/>
        <w:topLinePunct w:val="0"/>
        <w:autoSpaceDE/>
        <w:autoSpaceDN/>
        <w:bidi w:val="0"/>
        <w:adjustRightInd/>
        <w:snapToGrid/>
        <w:spacing w:line="640" w:lineRule="exact"/>
        <w:textAlignment w:val="auto"/>
        <w:rPr>
          <w:sz w:val="24"/>
          <w:szCs w:val="24"/>
        </w:rPr>
      </w:pPr>
      <w:r>
        <w:rPr>
          <w:rFonts w:ascii="黑体" w:hAnsi="黑体" w:eastAsia="黑体"/>
          <w:sz w:val="24"/>
          <w:szCs w:val="24"/>
        </w:rPr>
        <w:fldChar w:fldCharType="begin"/>
      </w:r>
      <w:r>
        <w:rPr>
          <w:rFonts w:ascii="黑体" w:hAnsi="黑体" w:eastAsia="黑体"/>
          <w:sz w:val="24"/>
          <w:szCs w:val="24"/>
        </w:rPr>
        <w:instrText xml:space="preserve"> HYPERLINK \l _Toc11008 </w:instrText>
      </w:r>
      <w:r>
        <w:rPr>
          <w:rFonts w:ascii="黑体" w:hAnsi="黑体" w:eastAsia="黑体"/>
          <w:sz w:val="24"/>
          <w:szCs w:val="24"/>
        </w:rPr>
        <w:fldChar w:fldCharType="separate"/>
      </w:r>
      <w:r>
        <w:rPr>
          <w:rFonts w:hint="eastAsia"/>
          <w:sz w:val="24"/>
          <w:szCs w:val="24"/>
        </w:rPr>
        <w:t xml:space="preserve">三、 </w:t>
      </w:r>
      <w:r>
        <w:rPr>
          <w:rFonts w:hint="eastAsia"/>
          <w:sz w:val="24"/>
          <w:szCs w:val="24"/>
          <w:highlight w:val="none"/>
        </w:rPr>
        <w:t>工作内容</w:t>
      </w:r>
      <w:r>
        <w:rPr>
          <w:sz w:val="24"/>
          <w:szCs w:val="24"/>
        </w:rPr>
        <w:tab/>
      </w:r>
      <w:r>
        <w:rPr>
          <w:sz w:val="24"/>
          <w:szCs w:val="24"/>
        </w:rPr>
        <w:fldChar w:fldCharType="begin"/>
      </w:r>
      <w:r>
        <w:rPr>
          <w:sz w:val="24"/>
          <w:szCs w:val="24"/>
        </w:rPr>
        <w:instrText xml:space="preserve"> PAGEREF _Toc11008 \h </w:instrText>
      </w:r>
      <w:r>
        <w:rPr>
          <w:sz w:val="24"/>
          <w:szCs w:val="24"/>
        </w:rPr>
        <w:fldChar w:fldCharType="separate"/>
      </w:r>
      <w:r>
        <w:rPr>
          <w:sz w:val="24"/>
          <w:szCs w:val="24"/>
        </w:rPr>
        <w:t>10</w:t>
      </w:r>
      <w:r>
        <w:rPr>
          <w:sz w:val="24"/>
          <w:szCs w:val="24"/>
        </w:rPr>
        <w:fldChar w:fldCharType="end"/>
      </w:r>
      <w:r>
        <w:rPr>
          <w:rFonts w:ascii="黑体" w:hAnsi="黑体" w:eastAsia="黑体"/>
          <w:sz w:val="24"/>
          <w:szCs w:val="24"/>
        </w:rPr>
        <w:fldChar w:fldCharType="end"/>
      </w:r>
    </w:p>
    <w:p w14:paraId="15EF4661">
      <w:pPr>
        <w:pStyle w:val="29"/>
        <w:keepNext w:val="0"/>
        <w:keepLines w:val="0"/>
        <w:pageBreakBefore w:val="0"/>
        <w:widowControl w:val="0"/>
        <w:tabs>
          <w:tab w:val="right" w:leader="dot" w:pos="8306"/>
        </w:tabs>
        <w:kinsoku/>
        <w:wordWrap/>
        <w:overflowPunct/>
        <w:topLinePunct w:val="0"/>
        <w:autoSpaceDE/>
        <w:autoSpaceDN/>
        <w:bidi w:val="0"/>
        <w:adjustRightInd/>
        <w:snapToGrid/>
        <w:spacing w:line="640" w:lineRule="exact"/>
        <w:textAlignment w:val="auto"/>
        <w:rPr>
          <w:sz w:val="24"/>
          <w:szCs w:val="24"/>
        </w:rPr>
      </w:pPr>
      <w:r>
        <w:rPr>
          <w:rFonts w:ascii="黑体" w:hAnsi="黑体" w:eastAsia="黑体"/>
          <w:sz w:val="24"/>
          <w:szCs w:val="24"/>
        </w:rPr>
        <w:fldChar w:fldCharType="begin"/>
      </w:r>
      <w:r>
        <w:rPr>
          <w:rFonts w:ascii="黑体" w:hAnsi="黑体" w:eastAsia="黑体"/>
          <w:sz w:val="24"/>
          <w:szCs w:val="24"/>
        </w:rPr>
        <w:instrText xml:space="preserve"> HYPERLINK \l _Toc31998 </w:instrText>
      </w:r>
      <w:r>
        <w:rPr>
          <w:rFonts w:ascii="黑体" w:hAnsi="黑体" w:eastAsia="黑体"/>
          <w:sz w:val="24"/>
          <w:szCs w:val="24"/>
        </w:rPr>
        <w:fldChar w:fldCharType="separate"/>
      </w:r>
      <w:r>
        <w:rPr>
          <w:rFonts w:hint="eastAsia"/>
          <w:sz w:val="24"/>
          <w:szCs w:val="24"/>
        </w:rPr>
        <w:t>四、 工作</w:t>
      </w:r>
      <w:r>
        <w:rPr>
          <w:sz w:val="24"/>
          <w:szCs w:val="24"/>
        </w:rPr>
        <w:t>标准</w:t>
      </w:r>
      <w:r>
        <w:rPr>
          <w:sz w:val="24"/>
          <w:szCs w:val="24"/>
        </w:rPr>
        <w:tab/>
      </w:r>
      <w:r>
        <w:rPr>
          <w:sz w:val="24"/>
          <w:szCs w:val="24"/>
        </w:rPr>
        <w:fldChar w:fldCharType="begin"/>
      </w:r>
      <w:r>
        <w:rPr>
          <w:sz w:val="24"/>
          <w:szCs w:val="24"/>
        </w:rPr>
        <w:instrText xml:space="preserve"> PAGEREF _Toc31998 \h </w:instrText>
      </w:r>
      <w:r>
        <w:rPr>
          <w:sz w:val="24"/>
          <w:szCs w:val="24"/>
        </w:rPr>
        <w:fldChar w:fldCharType="separate"/>
      </w:r>
      <w:r>
        <w:rPr>
          <w:sz w:val="24"/>
          <w:szCs w:val="24"/>
        </w:rPr>
        <w:t>17</w:t>
      </w:r>
      <w:r>
        <w:rPr>
          <w:sz w:val="24"/>
          <w:szCs w:val="24"/>
        </w:rPr>
        <w:fldChar w:fldCharType="end"/>
      </w:r>
      <w:r>
        <w:rPr>
          <w:rFonts w:ascii="黑体" w:hAnsi="黑体" w:eastAsia="黑体"/>
          <w:sz w:val="24"/>
          <w:szCs w:val="24"/>
        </w:rPr>
        <w:fldChar w:fldCharType="end"/>
      </w:r>
    </w:p>
    <w:p w14:paraId="2E3654EA">
      <w:pPr>
        <w:pStyle w:val="29"/>
        <w:keepNext w:val="0"/>
        <w:keepLines w:val="0"/>
        <w:pageBreakBefore w:val="0"/>
        <w:widowControl w:val="0"/>
        <w:tabs>
          <w:tab w:val="right" w:leader="dot" w:pos="8306"/>
        </w:tabs>
        <w:kinsoku/>
        <w:wordWrap/>
        <w:overflowPunct/>
        <w:topLinePunct w:val="0"/>
        <w:autoSpaceDE/>
        <w:autoSpaceDN/>
        <w:bidi w:val="0"/>
        <w:adjustRightInd/>
        <w:snapToGrid/>
        <w:spacing w:line="640" w:lineRule="exact"/>
        <w:textAlignment w:val="auto"/>
        <w:rPr>
          <w:sz w:val="24"/>
          <w:szCs w:val="24"/>
        </w:rPr>
      </w:pPr>
      <w:r>
        <w:rPr>
          <w:rFonts w:ascii="黑体" w:hAnsi="黑体" w:eastAsia="黑体"/>
          <w:sz w:val="24"/>
          <w:szCs w:val="24"/>
        </w:rPr>
        <w:fldChar w:fldCharType="begin"/>
      </w:r>
      <w:r>
        <w:rPr>
          <w:rFonts w:ascii="黑体" w:hAnsi="黑体" w:eastAsia="黑体"/>
          <w:sz w:val="24"/>
          <w:szCs w:val="24"/>
        </w:rPr>
        <w:instrText xml:space="preserve"> HYPERLINK \l _Toc10337 </w:instrText>
      </w:r>
      <w:r>
        <w:rPr>
          <w:rFonts w:ascii="黑体" w:hAnsi="黑体" w:eastAsia="黑体"/>
          <w:sz w:val="24"/>
          <w:szCs w:val="24"/>
        </w:rPr>
        <w:fldChar w:fldCharType="separate"/>
      </w:r>
      <w:r>
        <w:rPr>
          <w:rFonts w:hint="eastAsia"/>
          <w:sz w:val="24"/>
          <w:szCs w:val="24"/>
        </w:rPr>
        <w:t>五、 责任及义务</w:t>
      </w:r>
      <w:r>
        <w:rPr>
          <w:sz w:val="24"/>
          <w:szCs w:val="24"/>
        </w:rPr>
        <w:tab/>
      </w:r>
      <w:r>
        <w:rPr>
          <w:sz w:val="24"/>
          <w:szCs w:val="24"/>
        </w:rPr>
        <w:fldChar w:fldCharType="begin"/>
      </w:r>
      <w:r>
        <w:rPr>
          <w:sz w:val="24"/>
          <w:szCs w:val="24"/>
        </w:rPr>
        <w:instrText xml:space="preserve"> PAGEREF _Toc10337 \h </w:instrText>
      </w:r>
      <w:r>
        <w:rPr>
          <w:sz w:val="24"/>
          <w:szCs w:val="24"/>
        </w:rPr>
        <w:fldChar w:fldCharType="separate"/>
      </w:r>
      <w:r>
        <w:rPr>
          <w:sz w:val="24"/>
          <w:szCs w:val="24"/>
        </w:rPr>
        <w:t>25</w:t>
      </w:r>
      <w:r>
        <w:rPr>
          <w:sz w:val="24"/>
          <w:szCs w:val="24"/>
        </w:rPr>
        <w:fldChar w:fldCharType="end"/>
      </w:r>
      <w:r>
        <w:rPr>
          <w:rFonts w:ascii="黑体" w:hAnsi="黑体" w:eastAsia="黑体"/>
          <w:sz w:val="24"/>
          <w:szCs w:val="24"/>
        </w:rPr>
        <w:fldChar w:fldCharType="end"/>
      </w:r>
    </w:p>
    <w:p w14:paraId="34D45CA4">
      <w:pPr>
        <w:pStyle w:val="25"/>
        <w:keepNext w:val="0"/>
        <w:keepLines w:val="0"/>
        <w:pageBreakBefore w:val="0"/>
        <w:widowControl w:val="0"/>
        <w:tabs>
          <w:tab w:val="right" w:leader="dot" w:pos="8306"/>
        </w:tabs>
        <w:kinsoku/>
        <w:wordWrap/>
        <w:overflowPunct/>
        <w:topLinePunct w:val="0"/>
        <w:autoSpaceDE/>
        <w:autoSpaceDN/>
        <w:bidi w:val="0"/>
        <w:adjustRightInd/>
        <w:snapToGrid/>
        <w:spacing w:line="640" w:lineRule="exact"/>
        <w:textAlignment w:val="auto"/>
        <w:rPr>
          <w:sz w:val="24"/>
          <w:szCs w:val="24"/>
        </w:rPr>
      </w:pPr>
      <w:r>
        <w:rPr>
          <w:rFonts w:ascii="黑体" w:hAnsi="黑体" w:eastAsia="黑体"/>
          <w:sz w:val="24"/>
          <w:szCs w:val="24"/>
        </w:rPr>
        <w:fldChar w:fldCharType="begin"/>
      </w:r>
      <w:r>
        <w:rPr>
          <w:rFonts w:ascii="黑体" w:hAnsi="黑体" w:eastAsia="黑体"/>
          <w:sz w:val="24"/>
          <w:szCs w:val="24"/>
        </w:rPr>
        <w:instrText xml:space="preserve"> HYPERLINK \l _Toc788 </w:instrText>
      </w:r>
      <w:r>
        <w:rPr>
          <w:rFonts w:ascii="黑体" w:hAnsi="黑体" w:eastAsia="黑体"/>
          <w:sz w:val="24"/>
          <w:szCs w:val="24"/>
        </w:rPr>
        <w:fldChar w:fldCharType="separate"/>
      </w:r>
      <w:r>
        <w:rPr>
          <w:rFonts w:hint="eastAsia"/>
          <w:sz w:val="24"/>
          <w:szCs w:val="24"/>
        </w:rPr>
        <w:t>第三章 投标人</w:t>
      </w:r>
      <w:r>
        <w:rPr>
          <w:sz w:val="24"/>
          <w:szCs w:val="24"/>
        </w:rPr>
        <w:tab/>
      </w:r>
      <w:r>
        <w:rPr>
          <w:sz w:val="24"/>
          <w:szCs w:val="24"/>
        </w:rPr>
        <w:fldChar w:fldCharType="begin"/>
      </w:r>
      <w:r>
        <w:rPr>
          <w:sz w:val="24"/>
          <w:szCs w:val="24"/>
        </w:rPr>
        <w:instrText xml:space="preserve"> PAGEREF _Toc788 \h </w:instrText>
      </w:r>
      <w:r>
        <w:rPr>
          <w:sz w:val="24"/>
          <w:szCs w:val="24"/>
        </w:rPr>
        <w:fldChar w:fldCharType="separate"/>
      </w:r>
      <w:r>
        <w:rPr>
          <w:sz w:val="24"/>
          <w:szCs w:val="24"/>
        </w:rPr>
        <w:t>29</w:t>
      </w:r>
      <w:r>
        <w:rPr>
          <w:sz w:val="24"/>
          <w:szCs w:val="24"/>
        </w:rPr>
        <w:fldChar w:fldCharType="end"/>
      </w:r>
      <w:r>
        <w:rPr>
          <w:rFonts w:ascii="黑体" w:hAnsi="黑体" w:eastAsia="黑体"/>
          <w:sz w:val="24"/>
          <w:szCs w:val="24"/>
        </w:rPr>
        <w:fldChar w:fldCharType="end"/>
      </w:r>
    </w:p>
    <w:p w14:paraId="39ECE0A8">
      <w:pPr>
        <w:pStyle w:val="29"/>
        <w:keepNext w:val="0"/>
        <w:keepLines w:val="0"/>
        <w:pageBreakBefore w:val="0"/>
        <w:widowControl w:val="0"/>
        <w:tabs>
          <w:tab w:val="right" w:leader="dot" w:pos="8306"/>
        </w:tabs>
        <w:kinsoku/>
        <w:wordWrap/>
        <w:overflowPunct/>
        <w:topLinePunct w:val="0"/>
        <w:autoSpaceDE/>
        <w:autoSpaceDN/>
        <w:bidi w:val="0"/>
        <w:adjustRightInd/>
        <w:snapToGrid/>
        <w:spacing w:line="640" w:lineRule="exact"/>
        <w:textAlignment w:val="auto"/>
        <w:rPr>
          <w:sz w:val="24"/>
          <w:szCs w:val="24"/>
        </w:rPr>
      </w:pPr>
      <w:r>
        <w:rPr>
          <w:rFonts w:ascii="黑体" w:hAnsi="黑体" w:eastAsia="黑体"/>
          <w:sz w:val="24"/>
          <w:szCs w:val="24"/>
        </w:rPr>
        <w:fldChar w:fldCharType="begin"/>
      </w:r>
      <w:r>
        <w:rPr>
          <w:rFonts w:ascii="黑体" w:hAnsi="黑体" w:eastAsia="黑体"/>
          <w:sz w:val="24"/>
          <w:szCs w:val="24"/>
        </w:rPr>
        <w:instrText xml:space="preserve"> HYPERLINK \l _Toc22931 </w:instrText>
      </w:r>
      <w:r>
        <w:rPr>
          <w:rFonts w:ascii="黑体" w:hAnsi="黑体" w:eastAsia="黑体"/>
          <w:sz w:val="24"/>
          <w:szCs w:val="24"/>
        </w:rPr>
        <w:fldChar w:fldCharType="separate"/>
      </w:r>
      <w:r>
        <w:rPr>
          <w:rFonts w:hint="eastAsia"/>
          <w:sz w:val="24"/>
          <w:szCs w:val="24"/>
        </w:rPr>
        <w:t>一、 人员要求</w:t>
      </w:r>
      <w:r>
        <w:rPr>
          <w:sz w:val="24"/>
          <w:szCs w:val="24"/>
        </w:rPr>
        <w:tab/>
      </w:r>
      <w:r>
        <w:rPr>
          <w:sz w:val="24"/>
          <w:szCs w:val="24"/>
        </w:rPr>
        <w:fldChar w:fldCharType="begin"/>
      </w:r>
      <w:r>
        <w:rPr>
          <w:sz w:val="24"/>
          <w:szCs w:val="24"/>
        </w:rPr>
        <w:instrText xml:space="preserve"> PAGEREF _Toc22931 \h </w:instrText>
      </w:r>
      <w:r>
        <w:rPr>
          <w:sz w:val="24"/>
          <w:szCs w:val="24"/>
        </w:rPr>
        <w:fldChar w:fldCharType="separate"/>
      </w:r>
      <w:r>
        <w:rPr>
          <w:sz w:val="24"/>
          <w:szCs w:val="24"/>
        </w:rPr>
        <w:t>29</w:t>
      </w:r>
      <w:r>
        <w:rPr>
          <w:sz w:val="24"/>
          <w:szCs w:val="24"/>
        </w:rPr>
        <w:fldChar w:fldCharType="end"/>
      </w:r>
      <w:r>
        <w:rPr>
          <w:rFonts w:ascii="黑体" w:hAnsi="黑体" w:eastAsia="黑体"/>
          <w:sz w:val="24"/>
          <w:szCs w:val="24"/>
        </w:rPr>
        <w:fldChar w:fldCharType="end"/>
      </w:r>
    </w:p>
    <w:p w14:paraId="0E91A89A">
      <w:pPr>
        <w:pStyle w:val="29"/>
        <w:keepNext w:val="0"/>
        <w:keepLines w:val="0"/>
        <w:pageBreakBefore w:val="0"/>
        <w:widowControl w:val="0"/>
        <w:tabs>
          <w:tab w:val="right" w:leader="dot" w:pos="8306"/>
        </w:tabs>
        <w:kinsoku/>
        <w:wordWrap/>
        <w:overflowPunct/>
        <w:topLinePunct w:val="0"/>
        <w:autoSpaceDE/>
        <w:autoSpaceDN/>
        <w:bidi w:val="0"/>
        <w:adjustRightInd/>
        <w:snapToGrid/>
        <w:spacing w:line="640" w:lineRule="exact"/>
        <w:textAlignment w:val="auto"/>
        <w:rPr>
          <w:sz w:val="24"/>
          <w:szCs w:val="24"/>
        </w:rPr>
      </w:pPr>
      <w:r>
        <w:rPr>
          <w:rFonts w:ascii="黑体" w:hAnsi="黑体" w:eastAsia="黑体"/>
          <w:sz w:val="24"/>
          <w:szCs w:val="24"/>
        </w:rPr>
        <w:fldChar w:fldCharType="begin"/>
      </w:r>
      <w:r>
        <w:rPr>
          <w:rFonts w:ascii="黑体" w:hAnsi="黑体" w:eastAsia="黑体"/>
          <w:sz w:val="24"/>
          <w:szCs w:val="24"/>
        </w:rPr>
        <w:instrText xml:space="preserve"> HYPERLINK \l _Toc27327 </w:instrText>
      </w:r>
      <w:r>
        <w:rPr>
          <w:rFonts w:ascii="黑体" w:hAnsi="黑体" w:eastAsia="黑体"/>
          <w:sz w:val="24"/>
          <w:szCs w:val="24"/>
        </w:rPr>
        <w:fldChar w:fldCharType="separate"/>
      </w:r>
      <w:r>
        <w:rPr>
          <w:rFonts w:hint="eastAsia"/>
          <w:bCs w:val="0"/>
          <w:sz w:val="24"/>
          <w:szCs w:val="24"/>
        </w:rPr>
        <w:t xml:space="preserve">二、 </w:t>
      </w:r>
      <w:r>
        <w:rPr>
          <w:rFonts w:hint="eastAsia"/>
          <w:bCs w:val="0"/>
          <w:sz w:val="24"/>
          <w:szCs w:val="24"/>
          <w:highlight w:val="none"/>
        </w:rPr>
        <w:t>投标</w:t>
      </w:r>
      <w:r>
        <w:rPr>
          <w:bCs w:val="0"/>
          <w:sz w:val="24"/>
          <w:szCs w:val="24"/>
          <w:highlight w:val="none"/>
        </w:rPr>
        <w:t>时</w:t>
      </w:r>
      <w:r>
        <w:rPr>
          <w:rFonts w:hint="eastAsia"/>
          <w:bCs w:val="0"/>
          <w:sz w:val="24"/>
          <w:szCs w:val="24"/>
          <w:highlight w:val="none"/>
        </w:rPr>
        <w:t>应提供的资料</w:t>
      </w:r>
      <w:r>
        <w:rPr>
          <w:sz w:val="24"/>
          <w:szCs w:val="24"/>
        </w:rPr>
        <w:tab/>
      </w:r>
      <w:r>
        <w:rPr>
          <w:sz w:val="24"/>
          <w:szCs w:val="24"/>
        </w:rPr>
        <w:fldChar w:fldCharType="begin"/>
      </w:r>
      <w:r>
        <w:rPr>
          <w:sz w:val="24"/>
          <w:szCs w:val="24"/>
        </w:rPr>
        <w:instrText xml:space="preserve"> PAGEREF _Toc27327 \h </w:instrText>
      </w:r>
      <w:r>
        <w:rPr>
          <w:sz w:val="24"/>
          <w:szCs w:val="24"/>
        </w:rPr>
        <w:fldChar w:fldCharType="separate"/>
      </w:r>
      <w:r>
        <w:rPr>
          <w:sz w:val="24"/>
          <w:szCs w:val="24"/>
        </w:rPr>
        <w:t>31</w:t>
      </w:r>
      <w:r>
        <w:rPr>
          <w:sz w:val="24"/>
          <w:szCs w:val="24"/>
        </w:rPr>
        <w:fldChar w:fldCharType="end"/>
      </w:r>
      <w:r>
        <w:rPr>
          <w:rFonts w:ascii="黑体" w:hAnsi="黑体" w:eastAsia="黑体"/>
          <w:sz w:val="24"/>
          <w:szCs w:val="24"/>
        </w:rPr>
        <w:fldChar w:fldCharType="end"/>
      </w:r>
    </w:p>
    <w:p w14:paraId="746B14F9">
      <w:pPr>
        <w:pStyle w:val="25"/>
        <w:keepNext w:val="0"/>
        <w:keepLines w:val="0"/>
        <w:pageBreakBefore w:val="0"/>
        <w:widowControl w:val="0"/>
        <w:tabs>
          <w:tab w:val="right" w:leader="dot" w:pos="8306"/>
        </w:tabs>
        <w:kinsoku/>
        <w:wordWrap/>
        <w:overflowPunct/>
        <w:topLinePunct w:val="0"/>
        <w:autoSpaceDE/>
        <w:autoSpaceDN/>
        <w:bidi w:val="0"/>
        <w:adjustRightInd/>
        <w:snapToGrid/>
        <w:spacing w:line="640" w:lineRule="exact"/>
        <w:textAlignment w:val="auto"/>
      </w:pPr>
      <w:r>
        <w:rPr>
          <w:rFonts w:ascii="黑体" w:hAnsi="黑体" w:eastAsia="黑体"/>
          <w:sz w:val="24"/>
          <w:szCs w:val="24"/>
        </w:rPr>
        <w:fldChar w:fldCharType="begin"/>
      </w:r>
      <w:r>
        <w:rPr>
          <w:rFonts w:ascii="黑体" w:hAnsi="黑体" w:eastAsia="黑体"/>
          <w:sz w:val="24"/>
          <w:szCs w:val="24"/>
        </w:rPr>
        <w:instrText xml:space="preserve"> HYPERLINK \l _Toc24558 </w:instrText>
      </w:r>
      <w:r>
        <w:rPr>
          <w:rFonts w:ascii="黑体" w:hAnsi="黑体" w:eastAsia="黑体"/>
          <w:sz w:val="24"/>
          <w:szCs w:val="24"/>
        </w:rPr>
        <w:fldChar w:fldCharType="separate"/>
      </w:r>
      <w:r>
        <w:rPr>
          <w:rFonts w:hint="eastAsia"/>
          <w:sz w:val="24"/>
          <w:szCs w:val="24"/>
        </w:rPr>
        <w:t>第四章 考核及评价</w:t>
      </w:r>
      <w:r>
        <w:rPr>
          <w:sz w:val="24"/>
          <w:szCs w:val="24"/>
        </w:rPr>
        <w:tab/>
      </w:r>
      <w:r>
        <w:rPr>
          <w:sz w:val="24"/>
          <w:szCs w:val="24"/>
        </w:rPr>
        <w:fldChar w:fldCharType="begin"/>
      </w:r>
      <w:r>
        <w:rPr>
          <w:sz w:val="24"/>
          <w:szCs w:val="24"/>
        </w:rPr>
        <w:instrText xml:space="preserve"> PAGEREF _Toc24558 \h </w:instrText>
      </w:r>
      <w:r>
        <w:rPr>
          <w:sz w:val="24"/>
          <w:szCs w:val="24"/>
        </w:rPr>
        <w:fldChar w:fldCharType="separate"/>
      </w:r>
      <w:r>
        <w:rPr>
          <w:sz w:val="24"/>
          <w:szCs w:val="24"/>
        </w:rPr>
        <w:t>34</w:t>
      </w:r>
      <w:r>
        <w:rPr>
          <w:sz w:val="24"/>
          <w:szCs w:val="24"/>
        </w:rPr>
        <w:fldChar w:fldCharType="end"/>
      </w:r>
      <w:r>
        <w:rPr>
          <w:rFonts w:ascii="黑体" w:hAnsi="黑体" w:eastAsia="黑体"/>
          <w:sz w:val="24"/>
          <w:szCs w:val="24"/>
        </w:rPr>
        <w:fldChar w:fldCharType="end"/>
      </w:r>
    </w:p>
    <w:p w14:paraId="58740D77">
      <w:pPr>
        <w:pStyle w:val="29"/>
        <w:tabs>
          <w:tab w:val="right" w:leader="dot" w:pos="8296"/>
        </w:tabs>
        <w:spacing w:line="360" w:lineRule="auto"/>
        <w:rPr>
          <w:rFonts w:eastAsia="黑体"/>
          <w:sz w:val="28"/>
          <w:szCs w:val="28"/>
        </w:rPr>
      </w:pPr>
      <w:r>
        <w:rPr>
          <w:rFonts w:ascii="黑体" w:hAnsi="黑体" w:eastAsia="黑体"/>
          <w:szCs w:val="28"/>
        </w:rPr>
        <w:fldChar w:fldCharType="end"/>
      </w:r>
    </w:p>
    <w:p w14:paraId="1348E6AA">
      <w:pPr>
        <w:pStyle w:val="3"/>
        <w:rPr>
          <w:sz w:val="28"/>
          <w:szCs w:val="28"/>
        </w:rPr>
        <w:sectPr>
          <w:headerReference r:id="rId4" w:type="first"/>
          <w:headerReference r:id="rId3" w:type="default"/>
          <w:footerReference r:id="rId5" w:type="default"/>
          <w:pgSz w:w="11906" w:h="16838"/>
          <w:pgMar w:top="1440" w:right="1800" w:bottom="1440" w:left="1800" w:header="851" w:footer="992" w:gutter="0"/>
          <w:cols w:space="720" w:num="1"/>
          <w:titlePg/>
          <w:docGrid w:type="lines" w:linePitch="312" w:charSpace="0"/>
        </w:sectPr>
      </w:pPr>
      <w:bookmarkStart w:id="1" w:name="_Toc407096335"/>
    </w:p>
    <w:p w14:paraId="1CFAE245">
      <w:pPr>
        <w:pStyle w:val="3"/>
      </w:pPr>
      <w:bookmarkStart w:id="2" w:name="_Toc7044"/>
      <w:r>
        <w:rPr>
          <w:rFonts w:hint="eastAsia"/>
        </w:rPr>
        <w:t>总则</w:t>
      </w:r>
      <w:bookmarkEnd w:id="2"/>
    </w:p>
    <w:p w14:paraId="18DB8B40">
      <w:pPr>
        <w:pStyle w:val="6"/>
      </w:pPr>
      <w:r>
        <w:t>本技术规范书适用于</w:t>
      </w:r>
      <w:r>
        <w:rPr>
          <w:rFonts w:hint="eastAsia"/>
          <w:lang w:val="en-US" w:eastAsia="zh-CN"/>
        </w:rPr>
        <w:t>泸州市泸燊新能源</w:t>
      </w:r>
      <w:r>
        <w:rPr>
          <w:rFonts w:hint="eastAsia"/>
        </w:rPr>
        <w:t>有限公司日常</w:t>
      </w:r>
      <w:r>
        <w:rPr>
          <w:rFonts w:hint="eastAsia"/>
          <w:lang w:val="en-US" w:eastAsia="zh-CN"/>
        </w:rPr>
        <w:t>检修</w:t>
      </w:r>
      <w:r>
        <w:rPr>
          <w:rFonts w:hint="eastAsia"/>
        </w:rPr>
        <w:t>维护外委项目</w:t>
      </w:r>
      <w:r>
        <w:t>。本规范书包括</w:t>
      </w:r>
      <w:r>
        <w:rPr>
          <w:rFonts w:hint="eastAsia"/>
        </w:rPr>
        <w:t>本项目委托</w:t>
      </w:r>
      <w:r>
        <w:t>管理范围</w:t>
      </w:r>
      <w:r>
        <w:rPr>
          <w:rFonts w:hint="eastAsia"/>
        </w:rPr>
        <w:t>及主要</w:t>
      </w:r>
      <w:r>
        <w:t>内容</w:t>
      </w:r>
      <w:r>
        <w:rPr>
          <w:rFonts w:hint="eastAsia"/>
        </w:rPr>
        <w:t>、</w:t>
      </w:r>
      <w:r>
        <w:t>委托管理工作要求、</w:t>
      </w:r>
      <w:r>
        <w:rPr>
          <w:rFonts w:hint="eastAsia"/>
        </w:rPr>
        <w:t>双方</w:t>
      </w:r>
      <w:r>
        <w:t>职责等方面的技术要求。</w:t>
      </w:r>
    </w:p>
    <w:p w14:paraId="01FDBF3D">
      <w:pPr>
        <w:pStyle w:val="6"/>
      </w:pPr>
      <w:r>
        <w:rPr>
          <w:rFonts w:hint="eastAsia"/>
        </w:rPr>
        <w:t>本技术规范书提出的是最低限度的要求，并没有对一切技术细节作出规定，也未充分引述有关标准及规范的条文。投标人应保证提供符合本技术规范书和有关最新工业标准的产品，并满足国家有关安全、消防、环保、劳动卫生等强制性标准的要求。</w:t>
      </w:r>
    </w:p>
    <w:p w14:paraId="5FE67FDB">
      <w:pPr>
        <w:pStyle w:val="6"/>
      </w:pPr>
      <w:r>
        <w:t>投标人须执行本技术规范书所列的各项现行（国内、国际）标准。本技术规范书中未提及的内容均应满足或优于本规范书所列的国家标准、电力行业标准和有关国际标准，若各类标准相互有矛盾时，按较高标准执行。在此期间若颁布有要求更高、更新的技术标准及规定、规范，则应</w:t>
      </w:r>
      <w:r>
        <w:rPr>
          <w:rFonts w:hint="eastAsia"/>
        </w:rPr>
        <w:t>按</w:t>
      </w:r>
      <w:r>
        <w:t>最新技术标准、规定、规范执行。</w:t>
      </w:r>
    </w:p>
    <w:p w14:paraId="0E69EEC4">
      <w:pPr>
        <w:pStyle w:val="6"/>
      </w:pPr>
      <w:r>
        <w:t>如果投标人</w:t>
      </w:r>
      <w:r>
        <w:rPr>
          <w:rFonts w:hint="eastAsia"/>
        </w:rPr>
        <w:t>因技术水平</w:t>
      </w:r>
      <w:r>
        <w:t>、维修质量、运行操作不当等问题而导致机组无法正常投</w:t>
      </w:r>
      <w:r>
        <w:rPr>
          <w:rFonts w:hint="eastAsia"/>
        </w:rPr>
        <w:t>运，或不能</w:t>
      </w:r>
      <w:r>
        <w:t>长期连续、安全、经济、稳定、可靠地运行</w:t>
      </w:r>
      <w:r>
        <w:rPr>
          <w:rFonts w:hint="eastAsia"/>
        </w:rPr>
        <w:t>或不</w:t>
      </w:r>
      <w:r>
        <w:t>满足所有技术性能要求，投标人必须为此负全部责任。</w:t>
      </w:r>
    </w:p>
    <w:p w14:paraId="004F5783">
      <w:pPr>
        <w:pStyle w:val="6"/>
      </w:pPr>
      <w:r>
        <w:t>如投标人没有以书面形式对本技术规范书的内容和条文提出异议（或差异），则招标人可认为投标人已完全接受和同意本技术规范书的要求。如有异议（或差异），应在投标文件中以</w:t>
      </w:r>
      <w:r>
        <w:rPr>
          <w:rFonts w:hint="eastAsia"/>
        </w:rPr>
        <w:t>“</w:t>
      </w:r>
      <w:r>
        <w:t>对技术规范书的意见</w:t>
      </w:r>
      <w:r>
        <w:rPr>
          <w:rFonts w:hint="eastAsia"/>
        </w:rPr>
        <w:t>或与技术规范书</w:t>
      </w:r>
      <w:r>
        <w:t>的差异</w:t>
      </w:r>
      <w:r>
        <w:rPr>
          <w:rFonts w:hint="eastAsia"/>
        </w:rPr>
        <w:t>”</w:t>
      </w:r>
      <w:r>
        <w:t>书面提出（必须填写在投标文件的差异表中）。在签定合同之后，招标人提出因规范、标准和规定或工程条件发生变化而产生的一些补充要求，具体</w:t>
      </w:r>
      <w:r>
        <w:rPr>
          <w:rFonts w:hint="eastAsia"/>
        </w:rPr>
        <w:t>情况</w:t>
      </w:r>
      <w:r>
        <w:t>可由双方</w:t>
      </w:r>
      <w:r>
        <w:rPr>
          <w:rFonts w:hint="eastAsia"/>
        </w:rPr>
        <w:t>协商</w:t>
      </w:r>
      <w:r>
        <w:t>解决。</w:t>
      </w:r>
    </w:p>
    <w:p w14:paraId="241E540B">
      <w:pPr>
        <w:pStyle w:val="3"/>
      </w:pPr>
      <w:bookmarkStart w:id="3" w:name="_Toc16482"/>
      <w:r>
        <w:rPr>
          <w:rFonts w:hint="eastAsia"/>
        </w:rPr>
        <w:t>技术规范</w:t>
      </w:r>
      <w:bookmarkEnd w:id="3"/>
    </w:p>
    <w:p w14:paraId="0B111FFE">
      <w:pPr>
        <w:pStyle w:val="4"/>
      </w:pPr>
      <w:bookmarkStart w:id="4" w:name="_Toc5673"/>
      <w:r>
        <w:rPr>
          <w:rFonts w:hint="eastAsia"/>
        </w:rPr>
        <w:t>设备概况</w:t>
      </w:r>
      <w:bookmarkEnd w:id="1"/>
      <w:r>
        <w:rPr>
          <w:rFonts w:hint="eastAsia"/>
        </w:rPr>
        <w:t>（概况依据设计图纸编制，最终以现场实际为准）</w:t>
      </w:r>
      <w:bookmarkEnd w:id="4"/>
    </w:p>
    <w:p w14:paraId="7388A908">
      <w:pPr>
        <w:pStyle w:val="65"/>
        <w:ind w:firstLine="480"/>
        <w:rPr>
          <w:rFonts w:hint="eastAsia" w:ascii="宋体" w:hAnsi="宋体" w:eastAsia="宋体" w:cs="宋体"/>
          <w:kern w:val="2"/>
          <w:sz w:val="24"/>
          <w:szCs w:val="24"/>
          <w:highlight w:val="none"/>
          <w:lang w:val="en-US" w:eastAsia="zh-CN" w:bidi="ar-SA"/>
        </w:rPr>
      </w:pPr>
      <w:r>
        <w:rPr>
          <w:rFonts w:hint="eastAsia" w:ascii="宋体" w:hAnsi="宋体" w:eastAsia="宋体" w:cs="宋体"/>
          <w:kern w:val="2"/>
          <w:sz w:val="24"/>
          <w:szCs w:val="24"/>
          <w:lang w:val="en-US" w:eastAsia="zh-CN" w:bidi="ar-SA"/>
        </w:rPr>
        <w:t>泸州</w:t>
      </w:r>
      <w:r>
        <w:rPr>
          <w:rFonts w:hint="eastAsia" w:ascii="宋体" w:hAnsi="宋体" w:cs="宋体"/>
          <w:kern w:val="2"/>
          <w:sz w:val="24"/>
          <w:szCs w:val="24"/>
          <w:lang w:val="en-US" w:eastAsia="zh-CN" w:bidi="ar-SA"/>
        </w:rPr>
        <w:t>市</w:t>
      </w:r>
      <w:r>
        <w:rPr>
          <w:rFonts w:hint="eastAsia" w:ascii="宋体" w:hAnsi="宋体" w:eastAsia="宋体" w:cs="宋体"/>
          <w:kern w:val="2"/>
          <w:sz w:val="24"/>
          <w:szCs w:val="24"/>
          <w:lang w:val="en-US" w:eastAsia="zh-CN" w:bidi="ar-SA"/>
        </w:rPr>
        <w:t>泸燊新能源有限公司是重庆天泰能源集团有限公司控股单位，厂区占地面积约35亩，位于四川省泸州市泸县经开区神仙桥产业园区，规划建设2×45t/h燃气蒸气锅炉+2×B4MW背压汽轮发电机组。本期建设</w:t>
      </w:r>
      <w:r>
        <w:rPr>
          <w:rFonts w:hint="eastAsia" w:ascii="宋体" w:hAnsi="宋体" w:cs="宋体"/>
          <w:kern w:val="2"/>
          <w:sz w:val="24"/>
          <w:szCs w:val="24"/>
          <w:lang w:val="en-US" w:eastAsia="zh-CN" w:bidi="ar-SA"/>
        </w:rPr>
        <w:t>1</w:t>
      </w:r>
      <w:r>
        <w:rPr>
          <w:rFonts w:hint="eastAsia" w:ascii="宋体" w:hAnsi="宋体" w:eastAsia="宋体" w:cs="宋体"/>
          <w:kern w:val="2"/>
          <w:sz w:val="24"/>
          <w:szCs w:val="24"/>
          <w:lang w:val="en-US" w:eastAsia="zh-CN" w:bidi="ar-SA"/>
        </w:rPr>
        <w:t>台45t/h燃气蒸汽锅炉</w:t>
      </w:r>
      <w:r>
        <w:rPr>
          <w:rFonts w:hint="eastAsia" w:ascii="宋体" w:hAnsi="宋体" w:cs="宋体"/>
          <w:kern w:val="2"/>
          <w:sz w:val="24"/>
          <w:szCs w:val="24"/>
          <w:lang w:val="en-US" w:eastAsia="zh-CN" w:bidi="ar-SA"/>
        </w:rPr>
        <w:t>+1</w:t>
      </w:r>
      <w:r>
        <w:rPr>
          <w:rFonts w:hint="eastAsia" w:ascii="宋体" w:hAnsi="宋体" w:eastAsia="宋体" w:cs="宋体"/>
          <w:kern w:val="2"/>
          <w:sz w:val="24"/>
          <w:szCs w:val="24"/>
          <w:lang w:val="en-US" w:eastAsia="zh-CN" w:bidi="ar-SA"/>
        </w:rPr>
        <w:t>台B4MW背压汽轮发电机组，并配套建设供水、供电、供热等设施。发电机额定功率4MW，出口电压10.5kV，电气主接线采用发电机出口带母线，单母线分段接线方式。以</w:t>
      </w:r>
      <w:r>
        <w:rPr>
          <w:rFonts w:hint="default" w:ascii="Times New Roman" w:hAnsi="Times New Roman" w:eastAsia="微软雅黑" w:cs="Times New Roman"/>
          <w:kern w:val="2"/>
          <w:sz w:val="24"/>
          <w:szCs w:val="24"/>
          <w:lang w:val="en-US" w:eastAsia="zh-CN" w:bidi="ar-SA"/>
        </w:rPr>
        <w:t>Ⅰ</w:t>
      </w:r>
      <w:r>
        <w:rPr>
          <w:rFonts w:hint="eastAsia" w:ascii="宋体" w:hAnsi="宋体" w:eastAsia="宋体" w:cs="宋体"/>
          <w:kern w:val="2"/>
          <w:sz w:val="24"/>
          <w:szCs w:val="24"/>
          <w:lang w:val="en-US" w:eastAsia="zh-CN" w:bidi="ar-SA"/>
        </w:rPr>
        <w:t>回10kV出线并网，无备用电源。</w:t>
      </w:r>
      <w:r>
        <w:rPr>
          <w:rFonts w:hint="eastAsia" w:ascii="宋体" w:hAnsi="宋体" w:cs="宋体"/>
          <w:kern w:val="2"/>
          <w:sz w:val="24"/>
          <w:szCs w:val="24"/>
          <w:highlight w:val="none"/>
          <w:lang w:val="en-US" w:eastAsia="zh-CN" w:bidi="ar-SA"/>
        </w:rPr>
        <w:t>其中线路分为双回架空线路和电力电缆线路，</w:t>
      </w:r>
      <w:r>
        <w:rPr>
          <w:rFonts w:hint="eastAsia" w:ascii="Times New Roman" w:hAnsi="Times New Roman" w:cs="Times New Roman"/>
          <w:kern w:val="0"/>
          <w:szCs w:val="32"/>
          <w:highlight w:val="none"/>
          <w:lang w:val="en-US" w:eastAsia="zh-CN"/>
        </w:rPr>
        <w:t>电缆线路长0.983km，双回架空线路长2</w:t>
      </w:r>
      <w:r>
        <w:rPr>
          <w:rFonts w:hint="default" w:ascii="Arial" w:hAnsi="Arial" w:cs="Arial"/>
          <w:kern w:val="0"/>
          <w:szCs w:val="32"/>
          <w:highlight w:val="none"/>
          <w:lang w:val="en-US" w:eastAsia="zh-CN"/>
        </w:rPr>
        <w:t>×</w:t>
      </w:r>
      <w:r>
        <w:rPr>
          <w:rFonts w:hint="eastAsia" w:ascii="Times New Roman" w:hAnsi="Times New Roman" w:cs="Times New Roman"/>
          <w:kern w:val="0"/>
          <w:szCs w:val="32"/>
          <w:highlight w:val="none"/>
          <w:lang w:val="en-US" w:eastAsia="zh-CN"/>
        </w:rPr>
        <w:t>1.063km。</w:t>
      </w:r>
    </w:p>
    <w:p w14:paraId="65D4E637">
      <w:pPr>
        <w:pStyle w:val="5"/>
      </w:pPr>
      <w:r>
        <w:rPr>
          <w:rFonts w:hint="eastAsia"/>
        </w:rPr>
        <w:t>热力系统概述</w:t>
      </w:r>
    </w:p>
    <w:p w14:paraId="12BB5496">
      <w:pPr>
        <w:pStyle w:val="6"/>
      </w:pPr>
      <w:r>
        <w:rPr>
          <w:rFonts w:hint="eastAsia"/>
        </w:rPr>
        <w:t>锅炉</w:t>
      </w:r>
      <w:r>
        <w:rPr>
          <w:rFonts w:hint="eastAsia"/>
          <w:lang w:eastAsia="zh-CN"/>
        </w:rPr>
        <w:t>、</w:t>
      </w:r>
      <w:r>
        <w:rPr>
          <w:rFonts w:hint="eastAsia"/>
          <w:lang w:val="en-US" w:eastAsia="zh-CN"/>
        </w:rPr>
        <w:t>汽机系统</w:t>
      </w:r>
    </w:p>
    <w:p w14:paraId="17179D13">
      <w:pPr>
        <w:spacing w:line="360" w:lineRule="auto"/>
        <w:ind w:firstLine="480" w:firstLineChars="200"/>
        <w:rPr>
          <w:rFonts w:hint="default" w:ascii="宋体" w:hAnsi="宋体" w:cs="宋体"/>
          <w:sz w:val="24"/>
          <w:lang w:val="en-US" w:eastAsia="zh-CN"/>
        </w:rPr>
      </w:pPr>
      <w:r>
        <w:rPr>
          <w:rFonts w:hint="eastAsia" w:ascii="宋体" w:hAnsi="宋体" w:cs="宋体"/>
          <w:sz w:val="24"/>
        </w:rPr>
        <w:t>锅炉</w:t>
      </w:r>
      <w:r>
        <w:rPr>
          <w:rFonts w:hint="eastAsia" w:ascii="宋体" w:hAnsi="宋体" w:cs="宋体"/>
          <w:sz w:val="24"/>
          <w:lang w:val="en-US" w:eastAsia="zh-CN"/>
        </w:rPr>
        <w:t>为太原锅炉集团有限公司生产的中温</w:t>
      </w:r>
      <w:r>
        <w:rPr>
          <w:rFonts w:hint="eastAsia" w:ascii="宋体" w:hAnsi="宋体" w:cs="宋体"/>
          <w:sz w:val="24"/>
        </w:rPr>
        <w:t>中压</w:t>
      </w:r>
      <w:r>
        <w:rPr>
          <w:rFonts w:hint="eastAsia" w:ascii="宋体" w:hAnsi="宋体" w:cs="宋体"/>
          <w:sz w:val="24"/>
          <w:lang w:val="en-US" w:eastAsia="zh-CN"/>
        </w:rPr>
        <w:t>自然循环锅炉，燃料为天然气。</w:t>
      </w:r>
    </w:p>
    <w:p w14:paraId="15995A6F">
      <w:pPr>
        <w:spacing w:line="360" w:lineRule="auto"/>
        <w:ind w:firstLine="480" w:firstLineChars="200"/>
        <w:rPr>
          <w:rFonts w:hint="eastAsia" w:ascii="宋体" w:hAnsi="宋体" w:cs="宋体"/>
          <w:sz w:val="24"/>
        </w:rPr>
      </w:pPr>
      <w:r>
        <w:rPr>
          <w:rFonts w:hint="eastAsia" w:ascii="宋体" w:hAnsi="宋体" w:cs="宋体"/>
          <w:sz w:val="24"/>
        </w:rPr>
        <w:t>锅炉配置除氧器，正常除氧用汽取自</w:t>
      </w:r>
      <w:r>
        <w:rPr>
          <w:rFonts w:hint="eastAsia" w:ascii="宋体" w:hAnsi="宋体" w:cs="宋体"/>
          <w:sz w:val="24"/>
          <w:lang w:val="en-US" w:eastAsia="zh-CN"/>
        </w:rPr>
        <w:t>汽轮机排气或经减温减压的蒸汽</w:t>
      </w:r>
      <w:r>
        <w:rPr>
          <w:rFonts w:hint="eastAsia" w:ascii="宋体" w:hAnsi="宋体" w:cs="宋体"/>
          <w:sz w:val="24"/>
        </w:rPr>
        <w:t>。</w:t>
      </w:r>
    </w:p>
    <w:p w14:paraId="24CFBED5">
      <w:pPr>
        <w:spacing w:line="360" w:lineRule="auto"/>
        <w:ind w:firstLine="480" w:firstLineChars="200"/>
        <w:rPr>
          <w:rFonts w:hint="eastAsia" w:ascii="宋体" w:hAnsi="宋体" w:cs="宋体"/>
          <w:sz w:val="24"/>
          <w:lang w:val="en-US" w:eastAsia="zh-CN"/>
        </w:rPr>
      </w:pPr>
      <w:r>
        <w:rPr>
          <w:rFonts w:hint="eastAsia" w:ascii="宋体" w:hAnsi="宋体" w:cs="宋体"/>
          <w:sz w:val="24"/>
        </w:rPr>
        <w:t>来自给水泵的水流经调节阀</w:t>
      </w:r>
      <w:r>
        <w:rPr>
          <w:rFonts w:hint="eastAsia" w:ascii="宋体" w:hAnsi="宋体" w:cs="宋体"/>
          <w:sz w:val="24"/>
          <w:lang w:eastAsia="zh-CN"/>
        </w:rPr>
        <w:t>、</w:t>
      </w:r>
      <w:r>
        <w:rPr>
          <w:rFonts w:hint="eastAsia" w:ascii="宋体" w:hAnsi="宋体" w:cs="宋体"/>
          <w:sz w:val="24"/>
        </w:rPr>
        <w:t>省煤器进入锅筒</w:t>
      </w:r>
      <w:r>
        <w:rPr>
          <w:rFonts w:hint="eastAsia" w:ascii="宋体" w:hAnsi="宋体" w:cs="宋体"/>
          <w:sz w:val="24"/>
          <w:lang w:eastAsia="zh-CN"/>
        </w:rPr>
        <w:t>，</w:t>
      </w:r>
      <w:r>
        <w:rPr>
          <w:rFonts w:hint="eastAsia" w:ascii="宋体" w:hAnsi="宋体" w:cs="宋体"/>
          <w:sz w:val="24"/>
          <w:lang w:val="en-US" w:eastAsia="zh-CN"/>
        </w:rPr>
        <w:t>同时设置有锅炉再循环。</w:t>
      </w:r>
    </w:p>
    <w:p w14:paraId="579BC329">
      <w:pPr>
        <w:spacing w:line="360" w:lineRule="auto"/>
        <w:ind w:firstLine="480" w:firstLineChars="200"/>
        <w:rPr>
          <w:rFonts w:hint="eastAsia" w:ascii="宋体" w:hAnsi="宋体" w:cs="宋体"/>
          <w:sz w:val="24"/>
          <w:lang w:val="en-US" w:eastAsia="zh-CN"/>
        </w:rPr>
      </w:pPr>
      <w:r>
        <w:rPr>
          <w:rFonts w:hint="eastAsia" w:ascii="宋体" w:hAnsi="宋体" w:cs="宋体"/>
          <w:sz w:val="24"/>
          <w:lang w:val="en-US" w:eastAsia="zh-CN"/>
        </w:rPr>
        <w:t>来自除盐水冷母管的水流进入锅炉节能器加热，对烟气降温后进入除氧器。</w:t>
      </w:r>
    </w:p>
    <w:p w14:paraId="65470838">
      <w:pPr>
        <w:bidi w:val="0"/>
        <w:rPr>
          <w:rFonts w:hint="default" w:ascii="宋体" w:hAnsi="宋体" w:cs="宋体"/>
          <w:sz w:val="24"/>
          <w:lang w:val="en-US" w:eastAsia="zh-CN"/>
        </w:rPr>
      </w:pPr>
      <w:r>
        <w:rPr>
          <w:rFonts w:hint="eastAsia"/>
          <w:lang w:val="en-US" w:eastAsia="zh-CN"/>
        </w:rPr>
        <w:t xml:space="preserve">     </w:t>
      </w:r>
      <w:r>
        <w:rPr>
          <w:rFonts w:hint="eastAsia" w:ascii="宋体" w:hAnsi="宋体" w:cs="宋体"/>
          <w:sz w:val="24"/>
          <w:lang w:val="en-US" w:eastAsia="zh-CN"/>
        </w:rPr>
        <w:t>汽轮机为杭州中能汽轮动力有限公司生产的背压式机组，排气压力0.98MPa。</w:t>
      </w:r>
    </w:p>
    <w:p w14:paraId="75D4B803">
      <w:pPr>
        <w:pStyle w:val="6"/>
      </w:pPr>
      <w:r>
        <w:rPr>
          <w:rFonts w:hint="eastAsia"/>
        </w:rPr>
        <w:t>凝结水系统</w:t>
      </w:r>
    </w:p>
    <w:p w14:paraId="17143FD0">
      <w:pPr>
        <w:spacing w:line="360" w:lineRule="auto"/>
        <w:ind w:firstLine="480" w:firstLineChars="200"/>
        <w:rPr>
          <w:rFonts w:hint="default" w:ascii="宋体" w:hAnsi="宋体" w:cs="宋体"/>
          <w:sz w:val="24"/>
          <w:lang w:val="en-US" w:eastAsia="zh-CN"/>
        </w:rPr>
      </w:pPr>
      <w:r>
        <w:rPr>
          <w:rFonts w:hint="eastAsia" w:ascii="宋体" w:hAnsi="宋体" w:cs="宋体"/>
          <w:sz w:val="24"/>
        </w:rPr>
        <w:t>凝结水系统设有2×</w:t>
      </w:r>
      <w:r>
        <w:rPr>
          <w:rFonts w:hint="eastAsia" w:ascii="宋体" w:hAnsi="宋体" w:cs="宋体"/>
          <w:sz w:val="24"/>
          <w:lang w:val="en-US" w:eastAsia="zh-CN"/>
        </w:rPr>
        <w:t>45m³</w:t>
      </w:r>
      <w:r>
        <w:rPr>
          <w:rFonts w:hint="eastAsia" w:ascii="宋体" w:hAnsi="宋体" w:cs="宋体"/>
          <w:sz w:val="24"/>
        </w:rPr>
        <w:t>的凝结水泵（一变频</w:t>
      </w:r>
      <w:r>
        <w:rPr>
          <w:rFonts w:hint="eastAsia" w:ascii="宋体" w:hAnsi="宋体" w:cs="宋体"/>
          <w:sz w:val="24"/>
          <w:lang w:val="en-US" w:eastAsia="zh-CN"/>
        </w:rPr>
        <w:t>一工频</w:t>
      </w:r>
      <w:r>
        <w:rPr>
          <w:rFonts w:hint="eastAsia" w:ascii="宋体" w:hAnsi="宋体" w:cs="宋体"/>
          <w:sz w:val="24"/>
        </w:rPr>
        <w:t>）</w:t>
      </w:r>
      <w:r>
        <w:rPr>
          <w:rFonts w:hint="eastAsia" w:ascii="宋体" w:hAnsi="宋体" w:cs="宋体"/>
          <w:sz w:val="24"/>
          <w:lang w:eastAsia="zh-CN"/>
        </w:rPr>
        <w:t>，</w:t>
      </w:r>
      <w:r>
        <w:rPr>
          <w:rFonts w:hint="eastAsia" w:ascii="宋体" w:hAnsi="宋体" w:cs="宋体"/>
          <w:sz w:val="24"/>
          <w:lang w:val="en-US" w:eastAsia="zh-CN"/>
        </w:rPr>
        <w:t>2台凝结水箱。</w:t>
      </w:r>
    </w:p>
    <w:p w14:paraId="438B835B">
      <w:pPr>
        <w:spacing w:line="360" w:lineRule="auto"/>
        <w:ind w:firstLine="480" w:firstLineChars="200"/>
        <w:rPr>
          <w:rFonts w:hint="eastAsia" w:ascii="宋体" w:hAnsi="宋体" w:cs="宋体"/>
          <w:sz w:val="24"/>
        </w:rPr>
      </w:pPr>
      <w:r>
        <w:rPr>
          <w:rFonts w:hint="eastAsia" w:ascii="宋体" w:hAnsi="宋体" w:cs="宋体"/>
          <w:sz w:val="24"/>
        </w:rPr>
        <w:t>从</w:t>
      </w:r>
      <w:r>
        <w:rPr>
          <w:rFonts w:hint="eastAsia" w:ascii="宋体" w:hAnsi="宋体" w:cs="宋体"/>
          <w:sz w:val="24"/>
          <w:lang w:val="en-US" w:eastAsia="zh-CN"/>
        </w:rPr>
        <w:t>供热用户回收</w:t>
      </w:r>
      <w:r>
        <w:rPr>
          <w:rFonts w:hint="eastAsia" w:ascii="宋体" w:hAnsi="宋体" w:cs="宋体"/>
          <w:sz w:val="24"/>
        </w:rPr>
        <w:t>的凝结水</w:t>
      </w:r>
      <w:r>
        <w:rPr>
          <w:rFonts w:hint="eastAsia" w:ascii="宋体" w:hAnsi="宋体" w:cs="宋体"/>
          <w:sz w:val="24"/>
          <w:lang w:val="en-US" w:eastAsia="zh-CN"/>
        </w:rPr>
        <w:t>进入凝结水箱</w:t>
      </w:r>
      <w:r>
        <w:rPr>
          <w:rFonts w:hint="eastAsia" w:ascii="宋体" w:hAnsi="宋体" w:cs="宋体"/>
          <w:sz w:val="24"/>
        </w:rPr>
        <w:t>，经凝结水</w:t>
      </w:r>
      <w:r>
        <w:rPr>
          <w:rFonts w:hint="eastAsia" w:ascii="宋体" w:hAnsi="宋体" w:cs="宋体"/>
          <w:sz w:val="24"/>
          <w:lang w:val="en-US" w:eastAsia="zh-CN"/>
        </w:rPr>
        <w:t>泵加压后进入凝结水管道，一路至除氧器，另一路至外供凝结水。</w:t>
      </w:r>
    </w:p>
    <w:p w14:paraId="6103B5CE">
      <w:pPr>
        <w:spacing w:line="360" w:lineRule="auto"/>
        <w:ind w:firstLine="480" w:firstLineChars="200"/>
        <w:rPr>
          <w:rFonts w:ascii="宋体" w:hAnsi="宋体" w:cs="宋体"/>
          <w:sz w:val="24"/>
        </w:rPr>
      </w:pPr>
      <w:r>
        <w:rPr>
          <w:rFonts w:hint="eastAsia" w:ascii="宋体" w:hAnsi="宋体" w:cs="宋体"/>
          <w:sz w:val="24"/>
        </w:rPr>
        <w:t>电厂采用除盐水补水，补水方式为化学除盐水</w:t>
      </w:r>
      <w:r>
        <w:rPr>
          <w:rFonts w:hint="eastAsia" w:ascii="宋体" w:hAnsi="宋体" w:cs="宋体"/>
          <w:sz w:val="24"/>
          <w:lang w:val="en-US" w:eastAsia="zh-CN"/>
        </w:rPr>
        <w:t>经除盐水冷母管</w:t>
      </w:r>
      <w:r>
        <w:rPr>
          <w:rFonts w:hint="default" w:ascii="Arial" w:hAnsi="Arial" w:cs="Arial"/>
          <w:sz w:val="24"/>
          <w:lang w:val="en-US" w:eastAsia="zh-CN"/>
        </w:rPr>
        <w:t>→</w:t>
      </w:r>
      <w:r>
        <w:rPr>
          <w:rFonts w:hint="eastAsia" w:ascii="宋体" w:hAnsi="宋体" w:cs="宋体"/>
          <w:sz w:val="24"/>
          <w:lang w:val="en-US" w:eastAsia="zh-CN"/>
        </w:rPr>
        <w:t>锅炉节能器</w:t>
      </w:r>
      <w:r>
        <w:rPr>
          <w:rFonts w:hint="default" w:ascii="Arial" w:hAnsi="Arial" w:cs="Arial"/>
          <w:sz w:val="24"/>
          <w:lang w:val="en-US" w:eastAsia="zh-CN"/>
        </w:rPr>
        <w:t>→</w:t>
      </w:r>
      <w:r>
        <w:rPr>
          <w:rFonts w:hint="eastAsia" w:ascii="宋体" w:hAnsi="宋体" w:cs="宋体"/>
          <w:sz w:val="24"/>
          <w:lang w:val="en-US" w:eastAsia="zh-CN"/>
        </w:rPr>
        <w:t>除盐水热母管</w:t>
      </w:r>
      <w:r>
        <w:rPr>
          <w:rFonts w:hint="default" w:ascii="Arial" w:hAnsi="Arial" w:cs="Arial"/>
          <w:sz w:val="24"/>
          <w:lang w:val="en-US" w:eastAsia="zh-CN"/>
        </w:rPr>
        <w:t>→</w:t>
      </w:r>
      <w:r>
        <w:rPr>
          <w:rFonts w:hint="eastAsia" w:ascii="宋体" w:hAnsi="宋体" w:cs="宋体"/>
          <w:sz w:val="24"/>
          <w:lang w:val="en-US" w:eastAsia="zh-CN"/>
        </w:rPr>
        <w:t>除氧</w:t>
      </w:r>
      <w:r>
        <w:rPr>
          <w:rFonts w:hint="eastAsia" w:ascii="宋体" w:hAnsi="宋体" w:cs="宋体"/>
          <w:sz w:val="24"/>
        </w:rPr>
        <w:t>器。除盐水的管道和阀门均采用不锈钢材质。</w:t>
      </w:r>
    </w:p>
    <w:p w14:paraId="71909F58">
      <w:pPr>
        <w:pStyle w:val="6"/>
      </w:pPr>
      <w:r>
        <w:rPr>
          <w:rFonts w:hint="eastAsia"/>
        </w:rPr>
        <w:t>循环水系统</w:t>
      </w:r>
    </w:p>
    <w:p w14:paraId="7801173B">
      <w:pPr>
        <w:spacing w:line="360" w:lineRule="auto"/>
        <w:ind w:firstLine="480" w:firstLineChars="200"/>
        <w:rPr>
          <w:rFonts w:ascii="宋体" w:hAnsi="宋体" w:cs="宋体"/>
          <w:sz w:val="24"/>
        </w:rPr>
      </w:pPr>
      <w:r>
        <w:rPr>
          <w:rFonts w:hint="eastAsia" w:ascii="宋体" w:hAnsi="宋体" w:cs="宋体"/>
          <w:sz w:val="24"/>
        </w:rPr>
        <w:t>电厂采用机力塔冷却方式，机力塔</w:t>
      </w:r>
      <w:r>
        <w:rPr>
          <w:rFonts w:hint="eastAsia" w:ascii="宋体" w:hAnsi="宋体" w:cs="宋体"/>
          <w:sz w:val="24"/>
          <w:lang w:val="en-US" w:eastAsia="zh-CN"/>
        </w:rPr>
        <w:t>由泸县顺通水务有限公司供水</w:t>
      </w:r>
      <w:r>
        <w:rPr>
          <w:rFonts w:hint="eastAsia" w:ascii="宋体" w:hAnsi="宋体" w:cs="宋体"/>
          <w:sz w:val="24"/>
        </w:rPr>
        <w:t>，机组</w:t>
      </w:r>
      <w:r>
        <w:rPr>
          <w:rFonts w:hint="eastAsia" w:ascii="宋体" w:hAnsi="宋体" w:cs="宋体"/>
          <w:color w:val="000000"/>
          <w:kern w:val="0"/>
          <w:sz w:val="24"/>
          <w:lang w:bidi="ar"/>
        </w:rPr>
        <w:t>配</w:t>
      </w:r>
      <w:r>
        <w:rPr>
          <w:color w:val="000000"/>
          <w:kern w:val="0"/>
          <w:sz w:val="24"/>
          <w:lang w:bidi="ar"/>
        </w:rPr>
        <w:t>2</w:t>
      </w:r>
      <w:r>
        <w:rPr>
          <w:rFonts w:hint="eastAsia" w:ascii="宋体" w:hAnsi="宋体" w:cs="宋体"/>
          <w:color w:val="000000"/>
          <w:kern w:val="0"/>
          <w:sz w:val="24"/>
          <w:lang w:bidi="ar"/>
        </w:rPr>
        <w:t>台循环水泵及</w:t>
      </w:r>
      <w:r>
        <w:rPr>
          <w:rFonts w:hint="eastAsia"/>
          <w:color w:val="000000"/>
          <w:kern w:val="0"/>
          <w:sz w:val="24"/>
          <w:lang w:val="en-US" w:eastAsia="zh-CN" w:bidi="ar"/>
        </w:rPr>
        <w:t>2台</w:t>
      </w:r>
      <w:r>
        <w:rPr>
          <w:rFonts w:hint="eastAsia" w:ascii="宋体" w:hAnsi="宋体" w:cs="宋体"/>
          <w:color w:val="000000"/>
          <w:kern w:val="0"/>
          <w:sz w:val="24"/>
          <w:lang w:bidi="ar"/>
        </w:rPr>
        <w:t>机械通风冷却塔</w:t>
      </w:r>
      <w:r>
        <w:rPr>
          <w:rFonts w:hint="eastAsia" w:ascii="宋体" w:hAnsi="宋体" w:cs="宋体"/>
          <w:sz w:val="24"/>
        </w:rPr>
        <w:t>，循环水供应至</w:t>
      </w:r>
      <w:r>
        <w:rPr>
          <w:rFonts w:hint="eastAsia" w:ascii="宋体" w:hAnsi="宋体" w:cs="宋体"/>
          <w:sz w:val="24"/>
          <w:lang w:val="en-US" w:eastAsia="zh-CN"/>
        </w:rPr>
        <w:t>冷油器、空冷器</w:t>
      </w:r>
      <w:r>
        <w:rPr>
          <w:rFonts w:hint="eastAsia" w:ascii="宋体" w:hAnsi="宋体" w:cs="宋体"/>
          <w:sz w:val="24"/>
        </w:rPr>
        <w:t>进行冷却后回水至机力塔。</w:t>
      </w:r>
    </w:p>
    <w:p w14:paraId="10311F6E">
      <w:pPr>
        <w:pStyle w:val="6"/>
      </w:pPr>
      <w:r>
        <w:rPr>
          <w:rFonts w:hint="eastAsia"/>
        </w:rPr>
        <w:t>除盐水系统</w:t>
      </w:r>
    </w:p>
    <w:p w14:paraId="1498E810">
      <w:pPr>
        <w:spacing w:line="360" w:lineRule="auto"/>
        <w:ind w:firstLine="480" w:firstLineChars="200"/>
        <w:rPr>
          <w:rFonts w:ascii="宋体" w:hAnsi="宋体" w:cs="宋体"/>
          <w:sz w:val="24"/>
        </w:rPr>
      </w:pPr>
      <w:r>
        <w:rPr>
          <w:rFonts w:hint="eastAsia" w:ascii="宋体" w:hAnsi="宋体" w:cs="宋体"/>
          <w:sz w:val="24"/>
        </w:rPr>
        <w:t>除盐水系统提供</w:t>
      </w:r>
      <w:r>
        <w:rPr>
          <w:rFonts w:hint="eastAsia" w:ascii="宋体" w:hAnsi="宋体" w:cs="宋体"/>
          <w:sz w:val="24"/>
          <w:lang w:val="en-US" w:eastAsia="zh-CN"/>
        </w:rPr>
        <w:t>节能器、除氧器、疏水箱</w:t>
      </w:r>
      <w:r>
        <w:rPr>
          <w:rFonts w:hint="eastAsia" w:ascii="宋体" w:hAnsi="宋体" w:cs="宋体"/>
          <w:sz w:val="24"/>
        </w:rPr>
        <w:t>补水，除盐水来自</w:t>
      </w:r>
      <w:r>
        <w:rPr>
          <w:rFonts w:hint="eastAsia" w:ascii="宋体" w:hAnsi="宋体" w:cs="宋体"/>
          <w:sz w:val="24"/>
          <w:lang w:val="en-US" w:eastAsia="zh-CN"/>
        </w:rPr>
        <w:t>化水</w:t>
      </w:r>
      <w:r>
        <w:rPr>
          <w:rFonts w:hint="eastAsia" w:ascii="宋体" w:hAnsi="宋体" w:cs="宋体"/>
          <w:sz w:val="24"/>
        </w:rPr>
        <w:t>补水车间。</w:t>
      </w:r>
    </w:p>
    <w:p w14:paraId="21FA56C8">
      <w:pPr>
        <w:pStyle w:val="6"/>
      </w:pPr>
      <w:r>
        <w:rPr>
          <w:rFonts w:hint="eastAsia"/>
        </w:rPr>
        <w:t>润滑油系统</w:t>
      </w:r>
    </w:p>
    <w:p w14:paraId="2E1465FF">
      <w:pPr>
        <w:widowControl/>
        <w:ind w:firstLine="480" w:firstLineChars="200"/>
        <w:jc w:val="left"/>
        <w:rPr>
          <w:rFonts w:ascii="宋体" w:hAnsi="宋体" w:cs="宋体"/>
          <w:sz w:val="24"/>
        </w:rPr>
      </w:pPr>
      <w:r>
        <w:rPr>
          <w:rFonts w:hint="eastAsia" w:ascii="宋体" w:hAnsi="宋体" w:cs="宋体"/>
          <w:color w:val="000000"/>
          <w:kern w:val="0"/>
          <w:sz w:val="24"/>
          <w:lang w:bidi="ar"/>
        </w:rPr>
        <w:t>汽轮机设置一套</w:t>
      </w:r>
      <w:r>
        <w:rPr>
          <w:rFonts w:hint="eastAsia" w:ascii="宋体" w:hAnsi="宋体" w:cs="宋体"/>
          <w:color w:val="000000"/>
          <w:kern w:val="0"/>
          <w:sz w:val="24"/>
          <w:lang w:val="en-US" w:eastAsia="zh-CN" w:bidi="ar"/>
        </w:rPr>
        <w:t>油系统装置</w:t>
      </w:r>
      <w:r>
        <w:rPr>
          <w:rFonts w:hint="eastAsia" w:ascii="宋体" w:hAnsi="宋体" w:cs="宋体"/>
          <w:color w:val="000000"/>
          <w:kern w:val="0"/>
          <w:sz w:val="24"/>
          <w:lang w:bidi="ar"/>
        </w:rPr>
        <w:t>。</w:t>
      </w:r>
    </w:p>
    <w:p w14:paraId="3675AD86">
      <w:pPr>
        <w:spacing w:line="360" w:lineRule="auto"/>
        <w:ind w:firstLine="480" w:firstLineChars="200"/>
        <w:rPr>
          <w:rFonts w:ascii="宋体" w:hAnsi="宋体" w:cs="宋体"/>
          <w:sz w:val="24"/>
        </w:rPr>
      </w:pPr>
      <w:r>
        <w:rPr>
          <w:rFonts w:hint="eastAsia" w:ascii="宋体" w:hAnsi="宋体" w:cs="宋体"/>
          <w:sz w:val="24"/>
        </w:rPr>
        <w:t>润滑油系统设备由主油箱、</w:t>
      </w:r>
      <w:r>
        <w:rPr>
          <w:rFonts w:hint="eastAsia" w:ascii="宋体" w:hAnsi="宋体" w:cs="宋体"/>
          <w:sz w:val="24"/>
          <w:lang w:val="en-US" w:eastAsia="zh-CN"/>
        </w:rPr>
        <w:t>主油泵、</w:t>
      </w:r>
      <w:r>
        <w:rPr>
          <w:rFonts w:hint="eastAsia" w:ascii="宋体" w:hAnsi="宋体" w:cs="宋体"/>
          <w:sz w:val="24"/>
        </w:rPr>
        <w:t>电动交流润滑油泵、直流润滑油泵、冷油器、过滤器、阀门和油管组成。向汽轮机和发电机轴承供给润滑油，保证机组的正常运转。</w:t>
      </w:r>
    </w:p>
    <w:p w14:paraId="2458A5B7">
      <w:pPr>
        <w:spacing w:line="360" w:lineRule="auto"/>
        <w:ind w:firstLine="480" w:firstLineChars="200"/>
        <w:rPr>
          <w:rFonts w:ascii="宋体" w:hAnsi="宋体" w:cs="宋体"/>
          <w:sz w:val="24"/>
        </w:rPr>
      </w:pPr>
      <w:r>
        <w:rPr>
          <w:rFonts w:hint="eastAsia" w:ascii="宋体" w:hAnsi="宋体" w:cs="宋体"/>
          <w:sz w:val="24"/>
        </w:rPr>
        <w:t>主油泵用于机组正常运行时向机组供油，直流事故备用油泵用于</w:t>
      </w:r>
      <w:r>
        <w:rPr>
          <w:rFonts w:hint="eastAsia" w:ascii="宋体" w:hAnsi="宋体" w:cs="宋体"/>
          <w:sz w:val="24"/>
          <w:lang w:val="en-US" w:eastAsia="zh-CN"/>
        </w:rPr>
        <w:t>主油泵及</w:t>
      </w:r>
      <w:r>
        <w:rPr>
          <w:rFonts w:hint="eastAsia" w:ascii="宋体" w:hAnsi="宋体" w:cs="宋体"/>
          <w:sz w:val="24"/>
        </w:rPr>
        <w:t>交流油泵事故情况下机组的正常停机。</w:t>
      </w:r>
    </w:p>
    <w:p w14:paraId="5AEC522D">
      <w:pPr>
        <w:spacing w:line="360" w:lineRule="auto"/>
        <w:ind w:firstLine="480" w:firstLineChars="200"/>
        <w:rPr>
          <w:rFonts w:ascii="宋体" w:hAnsi="宋体" w:cs="宋体"/>
          <w:sz w:val="24"/>
        </w:rPr>
      </w:pPr>
      <w:r>
        <w:rPr>
          <w:rFonts w:hint="eastAsia" w:ascii="宋体" w:hAnsi="宋体" w:cs="宋体"/>
          <w:sz w:val="24"/>
        </w:rPr>
        <w:t>润滑油系统设备带有电加热器及温控设备，用于机组冷态启动时保证润滑油正常油温。润滑油系统设2台冷油器，1运1备。</w:t>
      </w:r>
    </w:p>
    <w:p w14:paraId="152DF64D">
      <w:pPr>
        <w:spacing w:line="360" w:lineRule="auto"/>
        <w:ind w:firstLine="480" w:firstLineChars="200"/>
        <w:rPr>
          <w:rFonts w:ascii="宋体" w:hAnsi="宋体" w:cs="宋体"/>
          <w:sz w:val="24"/>
        </w:rPr>
      </w:pPr>
      <w:r>
        <w:rPr>
          <w:rFonts w:hint="eastAsia" w:ascii="宋体" w:hAnsi="宋体" w:cs="宋体"/>
          <w:color w:val="000000"/>
          <w:kern w:val="0"/>
          <w:sz w:val="24"/>
          <w:lang w:bidi="ar"/>
        </w:rPr>
        <w:t>润滑油主油箱设有事故放油管道，其放油排至布置在厂房外的事故油池。</w:t>
      </w:r>
    </w:p>
    <w:p w14:paraId="16C19772">
      <w:pPr>
        <w:pStyle w:val="6"/>
      </w:pPr>
      <w:r>
        <w:rPr>
          <w:rFonts w:hint="eastAsia"/>
        </w:rPr>
        <w:t>压缩空气系统</w:t>
      </w:r>
    </w:p>
    <w:p w14:paraId="454B0EB2">
      <w:pPr>
        <w:spacing w:line="360" w:lineRule="auto"/>
        <w:ind w:firstLine="480" w:firstLineChars="200"/>
        <w:rPr>
          <w:rFonts w:ascii="宋体" w:hAnsi="宋体" w:cs="宋体"/>
          <w:sz w:val="24"/>
        </w:rPr>
      </w:pPr>
      <w:r>
        <w:rPr>
          <w:rFonts w:hint="eastAsia" w:ascii="宋体" w:hAnsi="宋体" w:cs="宋体"/>
          <w:sz w:val="24"/>
        </w:rPr>
        <w:t>压缩空气系统提供电厂</w:t>
      </w:r>
      <w:r>
        <w:rPr>
          <w:rFonts w:hint="eastAsia" w:ascii="宋体" w:hAnsi="宋体" w:cs="宋体"/>
          <w:sz w:val="24"/>
          <w:lang w:val="en-US" w:eastAsia="zh-CN"/>
        </w:rPr>
        <w:t>化水车间、</w:t>
      </w:r>
      <w:r>
        <w:rPr>
          <w:rFonts w:hint="eastAsia" w:ascii="宋体" w:hAnsi="宋体" w:cs="宋体"/>
          <w:sz w:val="24"/>
        </w:rPr>
        <w:t>仪用和检修用压缩空气。</w:t>
      </w:r>
    </w:p>
    <w:p w14:paraId="16F01262">
      <w:pPr>
        <w:spacing w:line="360" w:lineRule="auto"/>
        <w:ind w:firstLine="480" w:firstLineChars="200"/>
        <w:rPr>
          <w:rFonts w:ascii="宋体" w:hAnsi="宋体" w:cs="宋体"/>
          <w:sz w:val="24"/>
        </w:rPr>
      </w:pPr>
      <w:r>
        <w:rPr>
          <w:rFonts w:hint="eastAsia" w:ascii="宋体" w:hAnsi="宋体" w:cs="宋体"/>
          <w:sz w:val="24"/>
        </w:rPr>
        <w:t>电厂机组设</w:t>
      </w:r>
      <w:r>
        <w:rPr>
          <w:rFonts w:hint="eastAsia" w:ascii="宋体" w:hAnsi="宋体" w:cs="宋体"/>
          <w:sz w:val="24"/>
          <w:lang w:val="en-US" w:eastAsia="zh-CN"/>
        </w:rPr>
        <w:t>2</w:t>
      </w:r>
      <w:r>
        <w:rPr>
          <w:rFonts w:hint="eastAsia" w:ascii="宋体" w:hAnsi="宋体" w:cs="宋体"/>
          <w:sz w:val="24"/>
        </w:rPr>
        <w:t>台</w:t>
      </w:r>
      <w:r>
        <w:rPr>
          <w:rFonts w:hint="eastAsia" w:ascii="宋体" w:hAnsi="宋体" w:cs="宋体"/>
          <w:sz w:val="24"/>
          <w:lang w:val="en-US" w:eastAsia="zh-CN"/>
        </w:rPr>
        <w:t>2</w:t>
      </w:r>
      <w:r>
        <w:rPr>
          <w:rFonts w:hint="eastAsia" w:ascii="宋体" w:hAnsi="宋体" w:cs="宋体"/>
          <w:sz w:val="24"/>
        </w:rPr>
        <w:t>Nm</w:t>
      </w:r>
      <w:r>
        <w:rPr>
          <w:rFonts w:hint="eastAsia" w:ascii="宋体" w:hAnsi="宋体" w:cs="宋体"/>
          <w:sz w:val="24"/>
          <w:vertAlign w:val="superscript"/>
        </w:rPr>
        <w:t>3</w:t>
      </w:r>
      <w:r>
        <w:rPr>
          <w:rFonts w:hint="eastAsia" w:ascii="宋体" w:hAnsi="宋体" w:cs="宋体"/>
          <w:sz w:val="24"/>
        </w:rPr>
        <w:t>/min，0.85Mpa等级的空压机，2套净化能力为</w:t>
      </w:r>
      <w:r>
        <w:rPr>
          <w:rFonts w:hint="eastAsia" w:ascii="宋体" w:hAnsi="宋体" w:cs="宋体"/>
          <w:sz w:val="24"/>
          <w:lang w:val="en-US" w:eastAsia="zh-CN"/>
        </w:rPr>
        <w:t>2</w:t>
      </w:r>
      <w:r>
        <w:rPr>
          <w:rFonts w:hint="eastAsia" w:ascii="宋体" w:hAnsi="宋体" w:cs="宋体"/>
          <w:sz w:val="24"/>
        </w:rPr>
        <w:t>Nm</w:t>
      </w:r>
      <w:r>
        <w:rPr>
          <w:rFonts w:hint="eastAsia" w:ascii="宋体" w:hAnsi="宋体" w:cs="宋体"/>
          <w:sz w:val="24"/>
          <w:vertAlign w:val="superscript"/>
        </w:rPr>
        <w:t>3</w:t>
      </w:r>
      <w:r>
        <w:rPr>
          <w:rFonts w:hint="eastAsia" w:ascii="宋体" w:hAnsi="宋体" w:cs="宋体"/>
          <w:sz w:val="24"/>
        </w:rPr>
        <w:t>/min的空气净化装置</w:t>
      </w:r>
      <w:r>
        <w:rPr>
          <w:rFonts w:ascii="宋体" w:hAnsi="宋体" w:cs="宋体"/>
          <w:sz w:val="24"/>
        </w:rPr>
        <w:t>，</w:t>
      </w:r>
      <w:r>
        <w:rPr>
          <w:rFonts w:hint="eastAsia" w:ascii="宋体" w:hAnsi="宋体" w:cs="宋体"/>
          <w:sz w:val="24"/>
        </w:rPr>
        <w:t>2个</w:t>
      </w:r>
      <w:r>
        <w:rPr>
          <w:rFonts w:hint="eastAsia" w:ascii="宋体" w:hAnsi="宋体" w:cs="宋体"/>
          <w:sz w:val="24"/>
          <w:lang w:val="en-US" w:eastAsia="zh-CN"/>
        </w:rPr>
        <w:t>5</w:t>
      </w:r>
      <w:r>
        <w:rPr>
          <w:rFonts w:hint="eastAsia" w:ascii="宋体" w:hAnsi="宋体" w:cs="宋体"/>
          <w:sz w:val="24"/>
        </w:rPr>
        <w:t>m</w:t>
      </w:r>
      <w:r>
        <w:rPr>
          <w:rFonts w:hint="eastAsia" w:ascii="宋体" w:hAnsi="宋体" w:cs="宋体"/>
          <w:sz w:val="24"/>
          <w:vertAlign w:val="superscript"/>
        </w:rPr>
        <w:t>3</w:t>
      </w:r>
      <w:r>
        <w:rPr>
          <w:rFonts w:hint="eastAsia" w:ascii="宋体" w:hAnsi="宋体" w:cs="宋体"/>
          <w:sz w:val="24"/>
        </w:rPr>
        <w:t>的储气罐。机组正常运行时，一台运行一台备用。</w:t>
      </w:r>
    </w:p>
    <w:p w14:paraId="1D1A9E71">
      <w:pPr>
        <w:pStyle w:val="6"/>
      </w:pPr>
      <w:bookmarkStart w:id="5" w:name="_Toc78478386"/>
      <w:r>
        <w:rPr>
          <w:rFonts w:hint="eastAsia"/>
        </w:rPr>
        <w:t>燃料供应</w:t>
      </w:r>
      <w:bookmarkEnd w:id="5"/>
    </w:p>
    <w:p w14:paraId="20C9E85E">
      <w:pPr>
        <w:spacing w:line="360" w:lineRule="auto"/>
        <w:ind w:firstLine="480" w:firstLineChars="200"/>
        <w:rPr>
          <w:rFonts w:ascii="宋体" w:hAnsi="宋体" w:cs="宋体"/>
          <w:sz w:val="24"/>
        </w:rPr>
      </w:pPr>
      <w:r>
        <w:rPr>
          <w:rFonts w:hint="eastAsia" w:ascii="宋体" w:hAnsi="宋体" w:cs="宋体"/>
          <w:sz w:val="24"/>
          <w:lang w:val="en-US" w:eastAsia="zh-CN"/>
        </w:rPr>
        <w:t>锅炉</w:t>
      </w:r>
      <w:r>
        <w:rPr>
          <w:rFonts w:hint="eastAsia" w:ascii="宋体" w:hAnsi="宋体" w:cs="宋体"/>
          <w:sz w:val="24"/>
        </w:rPr>
        <w:t>天然气</w:t>
      </w:r>
      <w:r>
        <w:rPr>
          <w:rFonts w:hint="eastAsia" w:ascii="宋体" w:hAnsi="宋体" w:cs="宋体"/>
          <w:sz w:val="24"/>
          <w:lang w:val="en-US" w:eastAsia="zh-CN"/>
        </w:rPr>
        <w:t>采用公司自建的一条</w:t>
      </w:r>
      <w:r>
        <w:rPr>
          <w:rFonts w:hint="eastAsia" w:ascii="宋体" w:hAnsi="宋体" w:cs="宋体"/>
          <w:sz w:val="24"/>
        </w:rPr>
        <w:t>天然气</w:t>
      </w:r>
      <w:r>
        <w:rPr>
          <w:rFonts w:hint="eastAsia" w:ascii="宋体" w:hAnsi="宋体" w:cs="宋体"/>
          <w:sz w:val="24"/>
          <w:lang w:val="en-US" w:eastAsia="zh-CN"/>
        </w:rPr>
        <w:t>直供</w:t>
      </w:r>
      <w:r>
        <w:rPr>
          <w:rFonts w:hint="eastAsia" w:ascii="宋体" w:hAnsi="宋体" w:cs="宋体"/>
          <w:sz w:val="24"/>
        </w:rPr>
        <w:t>管线供气，管道从</w:t>
      </w:r>
      <w:r>
        <w:rPr>
          <w:rFonts w:hint="eastAsia" w:ascii="宋体" w:hAnsi="宋体" w:cs="宋体"/>
          <w:sz w:val="24"/>
          <w:lang w:val="en-US" w:eastAsia="zh-CN"/>
        </w:rPr>
        <w:t>云龙配气站</w:t>
      </w:r>
      <w:r>
        <w:rPr>
          <w:rFonts w:hint="eastAsia" w:ascii="宋体" w:hAnsi="宋体" w:cs="宋体"/>
          <w:sz w:val="24"/>
        </w:rPr>
        <w:t>出口接至我司</w:t>
      </w:r>
      <w:r>
        <w:rPr>
          <w:rFonts w:hint="eastAsia" w:ascii="宋体" w:hAnsi="宋体" w:cs="宋体"/>
          <w:sz w:val="24"/>
          <w:lang w:val="en-US" w:eastAsia="zh-CN"/>
        </w:rPr>
        <w:t>调压</w:t>
      </w:r>
      <w:r>
        <w:rPr>
          <w:rFonts w:hint="eastAsia" w:ascii="宋体" w:hAnsi="宋体" w:cs="宋体"/>
          <w:sz w:val="24"/>
        </w:rPr>
        <w:t>站（长度约</w:t>
      </w:r>
      <w:r>
        <w:rPr>
          <w:rFonts w:hint="eastAsia" w:ascii="宋体" w:hAnsi="宋体" w:cs="宋体"/>
          <w:sz w:val="24"/>
          <w:lang w:val="en-US" w:eastAsia="zh-CN"/>
        </w:rPr>
        <w:t>22.604千</w:t>
      </w:r>
      <w:r>
        <w:rPr>
          <w:rFonts w:hint="eastAsia" w:ascii="宋体" w:hAnsi="宋体" w:cs="宋体"/>
          <w:sz w:val="24"/>
        </w:rPr>
        <w:t>米）。在厂区内设置</w:t>
      </w:r>
      <w:r>
        <w:rPr>
          <w:rFonts w:hint="eastAsia" w:ascii="宋体" w:hAnsi="宋体" w:cs="宋体"/>
          <w:sz w:val="24"/>
          <w:lang w:val="en-US" w:eastAsia="zh-CN"/>
        </w:rPr>
        <w:t>的</w:t>
      </w:r>
      <w:r>
        <w:rPr>
          <w:rFonts w:hint="eastAsia" w:ascii="宋体" w:hAnsi="宋体" w:cs="宋体"/>
          <w:sz w:val="24"/>
        </w:rPr>
        <w:t>天然气调压站（调压站包括</w:t>
      </w:r>
      <w:r>
        <w:rPr>
          <w:rFonts w:hint="eastAsia" w:ascii="宋体" w:hAnsi="宋体" w:cs="宋体"/>
          <w:color w:val="000000"/>
          <w:kern w:val="0"/>
          <w:sz w:val="24"/>
          <w:lang w:bidi="ar"/>
        </w:rPr>
        <w:t>天然气的进口单元、计量单元、过滤单元、疏液单元、放散单元、管道和支吊架、电气控制、数据通信、系统控制等装置及辅助设备</w:t>
      </w:r>
      <w:r>
        <w:rPr>
          <w:color w:val="000000"/>
          <w:kern w:val="0"/>
          <w:sz w:val="24"/>
          <w:lang w:bidi="ar"/>
        </w:rPr>
        <w:t>/</w:t>
      </w:r>
      <w:r>
        <w:rPr>
          <w:rFonts w:hint="eastAsia" w:ascii="宋体" w:hAnsi="宋体" w:cs="宋体"/>
          <w:color w:val="000000"/>
          <w:kern w:val="0"/>
          <w:sz w:val="24"/>
          <w:lang w:bidi="ar"/>
        </w:rPr>
        <w:t>设施</w:t>
      </w:r>
      <w:r>
        <w:rPr>
          <w:rFonts w:hint="eastAsia" w:ascii="宋体" w:hAnsi="宋体" w:cs="宋体"/>
          <w:sz w:val="24"/>
        </w:rPr>
        <w:t>），</w:t>
      </w:r>
      <w:r>
        <w:rPr>
          <w:rFonts w:hint="eastAsia" w:ascii="宋体" w:hAnsi="宋体" w:cs="宋体"/>
          <w:color w:val="000000"/>
          <w:kern w:val="0"/>
          <w:sz w:val="24"/>
          <w:lang w:bidi="ar"/>
        </w:rPr>
        <w:t xml:space="preserve">调压单元共配置 </w:t>
      </w:r>
      <w:r>
        <w:rPr>
          <w:color w:val="000000"/>
          <w:kern w:val="0"/>
          <w:sz w:val="24"/>
          <w:lang w:bidi="ar"/>
        </w:rPr>
        <w:t>2×100%</w:t>
      </w:r>
      <w:r>
        <w:rPr>
          <w:rFonts w:hint="eastAsia" w:ascii="宋体" w:hAnsi="宋体" w:cs="宋体"/>
          <w:color w:val="000000"/>
          <w:kern w:val="0"/>
          <w:sz w:val="24"/>
          <w:lang w:bidi="ar"/>
        </w:rPr>
        <w:t>调压支路，一运一备。</w:t>
      </w:r>
      <w:r>
        <w:rPr>
          <w:rFonts w:hint="eastAsia" w:ascii="宋体" w:hAnsi="宋体" w:cs="宋体"/>
          <w:sz w:val="24"/>
        </w:rPr>
        <w:t>经调压后的天然气经管道、前置模块（含流量计、燃气加热、终端过滤）进入</w:t>
      </w:r>
      <w:r>
        <w:rPr>
          <w:rFonts w:hint="eastAsia" w:ascii="宋体" w:hAnsi="宋体" w:cs="宋体"/>
          <w:sz w:val="24"/>
          <w:lang w:val="en-US" w:eastAsia="zh-CN"/>
        </w:rPr>
        <w:t>锅炉</w:t>
      </w:r>
      <w:r>
        <w:rPr>
          <w:rFonts w:hint="eastAsia" w:ascii="宋体" w:hAnsi="宋体" w:cs="宋体"/>
          <w:sz w:val="24"/>
        </w:rPr>
        <w:t>燃烧</w:t>
      </w:r>
      <w:r>
        <w:rPr>
          <w:rFonts w:hint="eastAsia" w:ascii="宋体" w:hAnsi="宋体" w:cs="宋体"/>
          <w:sz w:val="24"/>
          <w:lang w:val="en-US" w:eastAsia="zh-CN"/>
        </w:rPr>
        <w:t>器</w:t>
      </w:r>
      <w:r>
        <w:rPr>
          <w:rFonts w:hint="eastAsia" w:ascii="宋体" w:hAnsi="宋体" w:cs="宋体"/>
          <w:sz w:val="24"/>
        </w:rPr>
        <w:t>。</w:t>
      </w:r>
    </w:p>
    <w:p w14:paraId="10E2EFC7">
      <w:pPr>
        <w:pStyle w:val="6"/>
      </w:pPr>
      <w:r>
        <w:rPr>
          <w:rFonts w:hint="eastAsia"/>
        </w:rPr>
        <w:t>消防水系统</w:t>
      </w:r>
    </w:p>
    <w:p w14:paraId="7EBF7CD5">
      <w:pPr>
        <w:spacing w:line="360" w:lineRule="auto"/>
        <w:ind w:firstLine="480" w:firstLineChars="200"/>
        <w:rPr>
          <w:rFonts w:ascii="宋体" w:hAnsi="宋体" w:cs="宋体"/>
          <w:sz w:val="24"/>
        </w:rPr>
      </w:pPr>
      <w:r>
        <w:rPr>
          <w:rFonts w:hint="eastAsia" w:ascii="宋体" w:hAnsi="宋体" w:cs="宋体"/>
          <w:sz w:val="24"/>
        </w:rPr>
        <w:t>消防水源取自工业消防水池，系统设置消防稳压泵2台（1运1备）、电动消防泵1台，消防水稳压罐1</w:t>
      </w:r>
      <w:r>
        <w:rPr>
          <w:rFonts w:hint="eastAsia" w:ascii="宋体" w:hAnsi="宋体" w:cs="宋体"/>
          <w:sz w:val="24"/>
          <w:lang w:val="en-US" w:eastAsia="zh-CN"/>
        </w:rPr>
        <w:t>套</w:t>
      </w:r>
      <w:r>
        <w:rPr>
          <w:rFonts w:hint="eastAsia" w:ascii="宋体" w:hAnsi="宋体" w:cs="宋体"/>
          <w:sz w:val="24"/>
        </w:rPr>
        <w:t>。稳压泵为立式多级离心泵，</w:t>
      </w:r>
      <w:r>
        <w:rPr>
          <w:rFonts w:hint="eastAsia" w:ascii="宋体" w:hAnsi="宋体" w:cs="宋体"/>
          <w:color w:val="auto"/>
          <w:sz w:val="24"/>
          <w:highlight w:val="none"/>
        </w:rPr>
        <w:t>电动消防泵</w:t>
      </w:r>
      <w:r>
        <w:rPr>
          <w:rFonts w:hint="eastAsia" w:ascii="宋体" w:hAnsi="宋体" w:cs="宋体"/>
          <w:sz w:val="24"/>
        </w:rPr>
        <w:t>。</w:t>
      </w:r>
    </w:p>
    <w:p w14:paraId="5444BA6C">
      <w:pPr>
        <w:pStyle w:val="6"/>
      </w:pPr>
      <w:r>
        <w:rPr>
          <w:rFonts w:hint="eastAsia"/>
        </w:rPr>
        <w:t>供热及回水处理系统</w:t>
      </w:r>
    </w:p>
    <w:p w14:paraId="5A6737D5">
      <w:pPr>
        <w:spacing w:line="360" w:lineRule="auto"/>
        <w:ind w:firstLine="480" w:firstLineChars="200"/>
        <w:rPr>
          <w:rFonts w:ascii="宋体" w:hAnsi="宋体" w:cs="宋体"/>
          <w:sz w:val="24"/>
        </w:rPr>
      </w:pPr>
      <w:r>
        <w:rPr>
          <w:rFonts w:hint="eastAsia" w:ascii="宋体" w:hAnsi="宋体" w:cs="宋体"/>
          <w:sz w:val="24"/>
        </w:rPr>
        <w:t>机组的</w:t>
      </w:r>
      <w:r>
        <w:rPr>
          <w:rFonts w:hint="eastAsia" w:ascii="宋体" w:hAnsi="宋体" w:cs="宋体"/>
          <w:sz w:val="24"/>
          <w:lang w:val="en-US" w:eastAsia="zh-CN"/>
        </w:rPr>
        <w:t>排</w:t>
      </w:r>
      <w:r>
        <w:rPr>
          <w:rFonts w:hint="eastAsia" w:ascii="宋体" w:hAnsi="宋体" w:cs="宋体"/>
          <w:sz w:val="24"/>
        </w:rPr>
        <w:t>汽</w:t>
      </w:r>
      <w:r>
        <w:rPr>
          <w:rFonts w:hint="eastAsia" w:ascii="宋体" w:hAnsi="宋体" w:cs="宋体"/>
          <w:sz w:val="24"/>
          <w:lang w:val="en-US" w:eastAsia="zh-CN"/>
        </w:rPr>
        <w:t>或减温减压</w:t>
      </w:r>
      <w:r>
        <w:rPr>
          <w:rFonts w:hint="eastAsia" w:ascii="宋体" w:hAnsi="宋体" w:cs="宋体"/>
          <w:sz w:val="24"/>
        </w:rPr>
        <w:t>的蒸汽汇集到厂内供热联箱，再送到厂外各用户</w:t>
      </w:r>
      <w:r>
        <w:rPr>
          <w:rFonts w:hint="eastAsia" w:ascii="宋体" w:hAnsi="宋体" w:cs="宋体"/>
          <w:sz w:val="24"/>
          <w:lang w:eastAsia="zh-CN"/>
        </w:rPr>
        <w:t>，</w:t>
      </w:r>
      <w:r>
        <w:rPr>
          <w:rFonts w:hint="eastAsia" w:ascii="宋体" w:hAnsi="宋体" w:cs="宋体"/>
          <w:sz w:val="24"/>
        </w:rPr>
        <w:t>供热回水回收</w:t>
      </w:r>
      <w:r>
        <w:rPr>
          <w:rFonts w:hint="eastAsia" w:ascii="宋体" w:hAnsi="宋体" w:cs="宋体"/>
          <w:sz w:val="24"/>
          <w:lang w:val="en-US" w:eastAsia="zh-CN"/>
        </w:rPr>
        <w:t>至凝结水箱</w:t>
      </w:r>
      <w:r>
        <w:rPr>
          <w:rFonts w:hint="eastAsia" w:ascii="宋体" w:hAnsi="宋体" w:cs="宋体"/>
          <w:sz w:val="24"/>
        </w:rPr>
        <w:t>。</w:t>
      </w:r>
    </w:p>
    <w:p w14:paraId="7F738E3D">
      <w:pPr>
        <w:pStyle w:val="6"/>
      </w:pPr>
      <w:r>
        <w:rPr>
          <w:rFonts w:hint="eastAsia"/>
        </w:rPr>
        <w:t>生活污水系统</w:t>
      </w:r>
    </w:p>
    <w:p w14:paraId="77292862">
      <w:pPr>
        <w:spacing w:line="360" w:lineRule="auto"/>
        <w:ind w:firstLine="480" w:firstLineChars="200"/>
        <w:rPr>
          <w:rFonts w:hint="default" w:ascii="宋体" w:hAnsi="宋体" w:eastAsia="宋体" w:cs="宋体"/>
          <w:sz w:val="24"/>
          <w:lang w:val="en-US" w:eastAsia="zh-CN"/>
        </w:rPr>
      </w:pPr>
      <w:r>
        <w:rPr>
          <w:rFonts w:hint="eastAsia" w:ascii="宋体" w:hAnsi="宋体" w:cs="宋体"/>
          <w:sz w:val="24"/>
        </w:rPr>
        <w:t>生活污水经</w:t>
      </w:r>
      <w:r>
        <w:rPr>
          <w:rFonts w:hint="eastAsia" w:ascii="宋体" w:hAnsi="宋体" w:cs="宋体"/>
          <w:sz w:val="24"/>
          <w:lang w:val="en-US" w:eastAsia="zh-CN"/>
        </w:rPr>
        <w:t>污水管网进入化粪池，再进入园区污水集中处理站。</w:t>
      </w:r>
    </w:p>
    <w:p w14:paraId="416E4EBC">
      <w:pPr>
        <w:pStyle w:val="6"/>
      </w:pPr>
      <w:r>
        <w:rPr>
          <w:rFonts w:hint="eastAsia"/>
        </w:rPr>
        <w:t>锅炉补给水系统</w:t>
      </w:r>
    </w:p>
    <w:p w14:paraId="4BC56AE4">
      <w:pPr>
        <w:spacing w:line="360" w:lineRule="auto"/>
        <w:ind w:firstLine="480" w:firstLineChars="200"/>
        <w:rPr>
          <w:rFonts w:hint="eastAsia" w:eastAsia="宋体"/>
          <w:highlight w:val="none"/>
          <w:lang w:eastAsia="zh-CN"/>
        </w:rPr>
      </w:pPr>
      <w:bookmarkStart w:id="6" w:name="OLE_LINK2"/>
      <w:r>
        <w:rPr>
          <w:rFonts w:hint="eastAsia" w:ascii="宋体" w:hAnsi="宋体" w:cs="宋体"/>
          <w:color w:val="auto"/>
          <w:sz w:val="24"/>
          <w:highlight w:val="none"/>
        </w:rPr>
        <w:t>系统设计出力为2×</w:t>
      </w:r>
      <w:r>
        <w:rPr>
          <w:rFonts w:hint="eastAsia" w:ascii="宋体" w:hAnsi="宋体" w:cs="宋体"/>
          <w:color w:val="auto"/>
          <w:sz w:val="24"/>
          <w:highlight w:val="none"/>
          <w:lang w:val="en-US" w:eastAsia="zh-CN"/>
        </w:rPr>
        <w:t>30</w:t>
      </w:r>
      <w:r>
        <w:rPr>
          <w:rFonts w:hint="eastAsia" w:ascii="宋体" w:hAnsi="宋体" w:cs="宋体"/>
          <w:color w:val="auto"/>
          <w:sz w:val="24"/>
          <w:highlight w:val="none"/>
        </w:rPr>
        <w:t>t/h</w:t>
      </w:r>
      <w:r>
        <w:rPr>
          <w:rFonts w:hint="eastAsia" w:ascii="宋体" w:hAnsi="宋体" w:cs="宋体"/>
          <w:sz w:val="24"/>
          <w:highlight w:val="none"/>
        </w:rPr>
        <w:t>，流程为：工业消防水池→</w:t>
      </w:r>
      <w:r>
        <w:rPr>
          <w:rFonts w:hint="eastAsia" w:ascii="宋体" w:hAnsi="宋体" w:cs="宋体"/>
          <w:sz w:val="24"/>
          <w:highlight w:val="none"/>
          <w:lang w:val="en-US" w:eastAsia="zh-CN"/>
        </w:rPr>
        <w:t>原水泵</w:t>
      </w:r>
      <w:r>
        <w:rPr>
          <w:rFonts w:hint="eastAsia" w:ascii="宋体" w:hAnsi="宋体" w:cs="宋体"/>
          <w:sz w:val="24"/>
          <w:highlight w:val="none"/>
        </w:rPr>
        <w:t>→多介质过滤器→活性炭过滤器→</w:t>
      </w:r>
      <w:r>
        <w:rPr>
          <w:rFonts w:hint="eastAsia" w:ascii="宋体" w:hAnsi="宋体" w:cs="宋体"/>
          <w:sz w:val="24"/>
          <w:highlight w:val="none"/>
          <w:lang w:val="en-US" w:eastAsia="zh-CN"/>
        </w:rPr>
        <w:t>预处理净水箱</w:t>
      </w:r>
      <w:r>
        <w:rPr>
          <w:rFonts w:hint="eastAsia" w:ascii="宋体" w:hAnsi="宋体" w:cs="宋体"/>
          <w:sz w:val="24"/>
          <w:highlight w:val="none"/>
        </w:rPr>
        <w:t>→一级反渗透增压泵→一级阻垢剂加药装置→一级保安过滤器→一级高压泵→一级反渗透装置→</w:t>
      </w:r>
      <w:r>
        <w:rPr>
          <w:rFonts w:hint="eastAsia" w:ascii="宋体" w:hAnsi="宋体" w:cs="宋体"/>
          <w:sz w:val="24"/>
          <w:highlight w:val="none"/>
          <w:lang w:val="en-US" w:eastAsia="zh-CN"/>
        </w:rPr>
        <w:t>一级产水箱</w:t>
      </w:r>
      <w:r>
        <w:rPr>
          <w:rFonts w:hint="eastAsia" w:ascii="宋体" w:hAnsi="宋体" w:cs="宋体"/>
          <w:sz w:val="24"/>
          <w:highlight w:val="none"/>
        </w:rPr>
        <w:t>→二级反渗透增压泵→二级PH剂加药装置→二级保安过滤器→二级高压泵→二级反渗透装置→</w:t>
      </w:r>
      <w:r>
        <w:rPr>
          <w:rFonts w:hint="eastAsia" w:ascii="宋体" w:hAnsi="宋体" w:cs="宋体"/>
          <w:sz w:val="24"/>
          <w:highlight w:val="none"/>
          <w:lang w:val="en-US" w:eastAsia="zh-CN"/>
        </w:rPr>
        <w:t>二级产水箱</w:t>
      </w:r>
      <w:r>
        <w:rPr>
          <w:rFonts w:hint="eastAsia" w:ascii="宋体" w:hAnsi="宋体" w:cs="宋体"/>
          <w:sz w:val="24"/>
          <w:highlight w:val="none"/>
        </w:rPr>
        <w:t>→EDI增压泵→EDI保安过滤器→EDI装置→</w:t>
      </w:r>
      <w:r>
        <w:rPr>
          <w:rFonts w:hint="eastAsia" w:ascii="宋体" w:hAnsi="宋体" w:cs="宋体"/>
          <w:sz w:val="24"/>
          <w:highlight w:val="none"/>
          <w:lang w:val="en-US" w:eastAsia="zh-CN"/>
        </w:rPr>
        <w:t>除盐水箱</w:t>
      </w:r>
      <w:r>
        <w:rPr>
          <w:rFonts w:hint="eastAsia" w:ascii="宋体" w:hAnsi="宋体" w:cs="宋体"/>
          <w:sz w:val="24"/>
          <w:highlight w:val="none"/>
        </w:rPr>
        <w:t>→</w:t>
      </w:r>
      <w:r>
        <w:rPr>
          <w:rFonts w:hint="eastAsia" w:ascii="宋体" w:hAnsi="宋体" w:cs="宋体"/>
          <w:sz w:val="24"/>
          <w:highlight w:val="none"/>
          <w:lang w:val="en-US" w:eastAsia="zh-CN"/>
        </w:rPr>
        <w:t>除盐水泵</w:t>
      </w:r>
      <w:r>
        <w:rPr>
          <w:rFonts w:hint="eastAsia" w:ascii="宋体" w:hAnsi="宋体" w:cs="宋体"/>
          <w:sz w:val="24"/>
          <w:highlight w:val="none"/>
        </w:rPr>
        <w:t>→</w:t>
      </w:r>
      <w:r>
        <w:rPr>
          <w:rFonts w:hint="eastAsia" w:ascii="宋体" w:hAnsi="宋体" w:cs="宋体"/>
          <w:sz w:val="24"/>
          <w:highlight w:val="none"/>
          <w:lang w:val="en-US" w:eastAsia="zh-CN"/>
        </w:rPr>
        <w:t>节能器</w:t>
      </w:r>
      <w:r>
        <w:rPr>
          <w:rFonts w:hint="eastAsia" w:ascii="宋体" w:hAnsi="宋体" w:cs="宋体"/>
          <w:sz w:val="24"/>
          <w:highlight w:val="none"/>
        </w:rPr>
        <w:t>。</w:t>
      </w:r>
      <w:r>
        <w:rPr>
          <w:rFonts w:hint="eastAsia" w:ascii="宋体" w:hAnsi="宋体" w:cs="宋体"/>
          <w:sz w:val="24"/>
          <w:highlight w:val="none"/>
          <w:lang w:eastAsia="zh-CN"/>
        </w:rPr>
        <w:t>（</w:t>
      </w:r>
      <w:r>
        <w:rPr>
          <w:rFonts w:hint="eastAsia" w:ascii="宋体" w:hAnsi="宋体" w:cs="宋体"/>
          <w:sz w:val="24"/>
          <w:highlight w:val="none"/>
        </w:rPr>
        <w:t>EDI装置→</w:t>
      </w:r>
      <w:r>
        <w:rPr>
          <w:rFonts w:hint="eastAsia" w:ascii="宋体" w:hAnsi="宋体" w:cs="宋体"/>
          <w:sz w:val="24"/>
          <w:highlight w:val="none"/>
          <w:lang w:val="en-US" w:eastAsia="zh-CN"/>
        </w:rPr>
        <w:t>浓水</w:t>
      </w:r>
      <w:r>
        <w:rPr>
          <w:rFonts w:hint="eastAsia" w:ascii="宋体" w:hAnsi="宋体" w:cs="宋体"/>
          <w:sz w:val="24"/>
          <w:highlight w:val="none"/>
        </w:rPr>
        <w:t>→</w:t>
      </w:r>
      <w:r>
        <w:rPr>
          <w:rFonts w:hint="eastAsia" w:ascii="宋体" w:hAnsi="宋体" w:cs="宋体"/>
          <w:sz w:val="24"/>
          <w:highlight w:val="none"/>
          <w:lang w:val="en-US" w:eastAsia="zh-CN"/>
        </w:rPr>
        <w:t>一级产水箱；清洗装置</w:t>
      </w:r>
      <w:r>
        <w:rPr>
          <w:rFonts w:hint="eastAsia" w:ascii="宋体" w:hAnsi="宋体" w:cs="宋体"/>
          <w:sz w:val="24"/>
          <w:highlight w:val="none"/>
        </w:rPr>
        <w:t>→</w:t>
      </w:r>
      <w:r>
        <w:rPr>
          <w:rFonts w:hint="eastAsia" w:ascii="宋体" w:hAnsi="宋体" w:cs="宋体"/>
          <w:sz w:val="24"/>
          <w:highlight w:val="none"/>
          <w:lang w:val="en-US" w:eastAsia="zh-CN"/>
        </w:rPr>
        <w:t>一级反渗透</w:t>
      </w:r>
      <w:r>
        <w:rPr>
          <w:rFonts w:hint="eastAsia" w:ascii="宋体" w:hAnsi="宋体" w:cs="宋体"/>
          <w:sz w:val="24"/>
          <w:highlight w:val="none"/>
        </w:rPr>
        <w:t>→</w:t>
      </w:r>
      <w:r>
        <w:rPr>
          <w:rFonts w:hint="eastAsia" w:ascii="宋体" w:hAnsi="宋体" w:cs="宋体"/>
          <w:sz w:val="24"/>
          <w:highlight w:val="none"/>
          <w:lang w:val="en-US" w:eastAsia="zh-CN"/>
        </w:rPr>
        <w:t>浓水</w:t>
      </w:r>
      <w:r>
        <w:rPr>
          <w:rFonts w:hint="eastAsia" w:ascii="宋体" w:hAnsi="宋体" w:cs="宋体"/>
          <w:sz w:val="24"/>
          <w:highlight w:val="none"/>
        </w:rPr>
        <w:t>→</w:t>
      </w:r>
      <w:r>
        <w:rPr>
          <w:rFonts w:hint="eastAsia" w:ascii="宋体" w:hAnsi="宋体" w:cs="宋体"/>
          <w:sz w:val="24"/>
          <w:highlight w:val="none"/>
          <w:lang w:val="en-US" w:eastAsia="zh-CN"/>
        </w:rPr>
        <w:t>一级浓水箱</w:t>
      </w:r>
      <w:r>
        <w:rPr>
          <w:rFonts w:hint="eastAsia" w:ascii="宋体" w:hAnsi="宋体" w:cs="宋体"/>
          <w:sz w:val="24"/>
          <w:highlight w:val="none"/>
        </w:rPr>
        <w:t>→</w:t>
      </w:r>
      <w:r>
        <w:rPr>
          <w:rFonts w:hint="eastAsia" w:ascii="宋体" w:hAnsi="宋体" w:cs="宋体"/>
          <w:sz w:val="24"/>
          <w:highlight w:val="none"/>
          <w:lang w:val="en-US" w:eastAsia="zh-CN"/>
        </w:rPr>
        <w:t>反洗水泵</w:t>
      </w:r>
      <w:r>
        <w:rPr>
          <w:rFonts w:hint="eastAsia" w:ascii="宋体" w:hAnsi="宋体" w:cs="宋体"/>
          <w:sz w:val="24"/>
          <w:highlight w:val="none"/>
        </w:rPr>
        <w:t>→多介质过滤器</w:t>
      </w:r>
      <w:r>
        <w:rPr>
          <w:rFonts w:hint="eastAsia" w:ascii="宋体" w:hAnsi="宋体" w:cs="宋体"/>
          <w:sz w:val="24"/>
          <w:highlight w:val="none"/>
          <w:lang w:eastAsia="zh-CN"/>
        </w:rPr>
        <w:t>、</w:t>
      </w:r>
      <w:r>
        <w:rPr>
          <w:rFonts w:hint="eastAsia" w:ascii="宋体" w:hAnsi="宋体" w:cs="宋体"/>
          <w:sz w:val="24"/>
          <w:highlight w:val="none"/>
        </w:rPr>
        <w:t>活性炭过滤器→</w:t>
      </w:r>
      <w:r>
        <w:rPr>
          <w:rFonts w:hint="eastAsia" w:ascii="宋体" w:hAnsi="宋体" w:cs="宋体"/>
          <w:sz w:val="24"/>
          <w:highlight w:val="none"/>
          <w:lang w:val="en-US" w:eastAsia="zh-CN"/>
        </w:rPr>
        <w:t>反洗水外排）</w:t>
      </w:r>
    </w:p>
    <w:p w14:paraId="3315CFE3">
      <w:pPr>
        <w:pStyle w:val="6"/>
      </w:pPr>
      <w:r>
        <w:rPr>
          <w:rFonts w:hint="eastAsia"/>
        </w:rPr>
        <w:t>炉水加药系统</w:t>
      </w:r>
    </w:p>
    <w:p w14:paraId="03D3BC4F">
      <w:pPr>
        <w:widowControl/>
        <w:jc w:val="left"/>
        <w:rPr>
          <w:rFonts w:hint="eastAsia" w:ascii="宋体" w:hAnsi="宋体" w:eastAsia="宋体" w:cs="宋体"/>
          <w:sz w:val="24"/>
          <w:highlight w:val="none"/>
          <w:lang w:val="en-US" w:eastAsia="zh-CN"/>
        </w:rPr>
      </w:pPr>
      <w:r>
        <w:rPr>
          <w:rFonts w:hint="eastAsia"/>
        </w:rPr>
        <w:t xml:space="preserve">   </w:t>
      </w:r>
      <w:r>
        <w:rPr>
          <w:rFonts w:hint="eastAsia" w:ascii="宋体" w:hAnsi="宋体" w:eastAsia="宋体" w:cs="宋体"/>
          <w:sz w:val="24"/>
          <w:highlight w:val="none"/>
          <w:lang w:val="en-US" w:eastAsia="zh-CN"/>
        </w:rPr>
        <w:t>炉水加药系统由1套组合式加氨装置、1套组合式炉水加磷酸盐装置，以上设备均为一体化控制，配置相应溶液箱、加药泵和管道阀门。</w:t>
      </w:r>
    </w:p>
    <w:p w14:paraId="64202594">
      <w:pPr>
        <w:pStyle w:val="6"/>
      </w:pPr>
      <w:r>
        <w:rPr>
          <w:rFonts w:hint="eastAsia"/>
        </w:rPr>
        <w:t>汽水取样系统</w:t>
      </w:r>
    </w:p>
    <w:p w14:paraId="07209345">
      <w:pPr>
        <w:ind w:firstLine="480" w:firstLineChars="200"/>
      </w:pPr>
      <w:r>
        <w:rPr>
          <w:rFonts w:hint="eastAsia" w:ascii="宋体" w:hAnsi="宋体" w:cs="宋体"/>
          <w:color w:val="000000"/>
          <w:kern w:val="0"/>
          <w:sz w:val="24"/>
          <w:lang w:bidi="ar"/>
        </w:rPr>
        <w:t>汽水取样系统由</w:t>
      </w:r>
      <w:r>
        <w:rPr>
          <w:color w:val="000000"/>
          <w:kern w:val="0"/>
          <w:sz w:val="24"/>
          <w:lang w:bidi="ar"/>
        </w:rPr>
        <w:t>1</w:t>
      </w:r>
      <w:r>
        <w:rPr>
          <w:rFonts w:hint="eastAsia" w:ascii="宋体" w:hAnsi="宋体" w:cs="宋体"/>
          <w:color w:val="000000"/>
          <w:kern w:val="0"/>
          <w:sz w:val="24"/>
          <w:lang w:bidi="ar"/>
        </w:rPr>
        <w:t>套集中式汽水取样装置，集中式汽水取样装置减温减压架冷却水来自机组</w:t>
      </w:r>
      <w:r>
        <w:rPr>
          <w:rFonts w:hint="eastAsia" w:ascii="宋体" w:hAnsi="宋体" w:cs="宋体"/>
          <w:color w:val="000000"/>
          <w:kern w:val="0"/>
          <w:sz w:val="24"/>
          <w:lang w:val="en-US" w:eastAsia="zh-CN" w:bidi="ar"/>
        </w:rPr>
        <w:t>循环水</w:t>
      </w:r>
      <w:r>
        <w:rPr>
          <w:rFonts w:hint="eastAsia" w:ascii="宋体" w:hAnsi="宋体" w:cs="宋体"/>
          <w:color w:val="000000"/>
          <w:kern w:val="0"/>
          <w:sz w:val="24"/>
          <w:lang w:bidi="ar"/>
        </w:rPr>
        <w:t>系统。</w:t>
      </w:r>
    </w:p>
    <w:bookmarkEnd w:id="6"/>
    <w:p w14:paraId="373D7DF9">
      <w:pPr>
        <w:pStyle w:val="5"/>
        <w:rPr>
          <w:rFonts w:hint="eastAsia"/>
          <w:lang w:val="en-US" w:eastAsia="zh-CN"/>
        </w:rPr>
      </w:pPr>
      <w:r>
        <w:rPr>
          <w:rFonts w:hint="eastAsia"/>
          <w:lang w:val="en-US" w:eastAsia="zh-CN"/>
        </w:rPr>
        <w:t>电气系统概述</w:t>
      </w:r>
    </w:p>
    <w:p w14:paraId="23A2AFFD">
      <w:pPr>
        <w:spacing w:line="360" w:lineRule="auto"/>
        <w:ind w:firstLine="480" w:firstLineChars="200"/>
        <w:rPr>
          <w:rFonts w:hint="eastAsia" w:ascii="宋体" w:hAnsi="宋体" w:cs="宋体"/>
          <w:sz w:val="24"/>
          <w:highlight w:val="none"/>
          <w:lang w:val="en-US" w:eastAsia="zh-CN"/>
        </w:rPr>
      </w:pPr>
      <w:r>
        <w:rPr>
          <w:rFonts w:hint="eastAsia" w:ascii="宋体" w:hAnsi="宋体" w:cs="宋体"/>
          <w:sz w:val="24"/>
          <w:highlight w:val="none"/>
          <w:lang w:val="en-US" w:eastAsia="zh-CN"/>
        </w:rPr>
        <w:t>发电机为东方电气集团东风电机有限公司制造；发电机型号为QFBK2W-4.5-2Z,额定功率为4.5MW,发电机定子额定电压为10.5kV。额定功率因数为0.8（滞后）；额定转速为3000r/min，频率为50HZ，发电机采用空气冷却方式。</w:t>
      </w:r>
    </w:p>
    <w:p w14:paraId="78667AEF">
      <w:pPr>
        <w:spacing w:line="360" w:lineRule="auto"/>
        <w:ind w:firstLine="480" w:firstLineChars="200"/>
        <w:rPr>
          <w:rFonts w:hint="default" w:ascii="宋体" w:hAnsi="宋体" w:cs="宋体"/>
          <w:sz w:val="24"/>
          <w:highlight w:val="none"/>
          <w:lang w:val="en-US" w:eastAsia="zh-CN"/>
        </w:rPr>
      </w:pPr>
      <w:r>
        <w:rPr>
          <w:rFonts w:hint="eastAsia" w:ascii="宋体" w:hAnsi="宋体" w:cs="宋体"/>
          <w:sz w:val="24"/>
          <w:highlight w:val="none"/>
          <w:lang w:val="en-US" w:eastAsia="zh-CN"/>
        </w:rPr>
        <w:t>厂内共设有3台干式变压器，生产厂家均为重庆重变电器有限责任公司，其中：</w:t>
      </w:r>
    </w:p>
    <w:p w14:paraId="4BA6B8AA">
      <w:pPr>
        <w:spacing w:line="360" w:lineRule="auto"/>
        <w:ind w:firstLine="480" w:firstLineChars="200"/>
        <w:rPr>
          <w:rFonts w:ascii="宋体" w:hAnsi="宋体" w:cs="宋体"/>
          <w:sz w:val="24"/>
          <w:highlight w:val="none"/>
        </w:rPr>
      </w:pPr>
      <w:r>
        <w:rPr>
          <w:rFonts w:hint="eastAsia" w:ascii="宋体" w:hAnsi="宋体" w:cs="宋体"/>
          <w:sz w:val="24"/>
          <w:highlight w:val="none"/>
          <w:lang w:val="en-US" w:eastAsia="zh-CN"/>
        </w:rPr>
        <w:t>2台（1用1备）12.5</w:t>
      </w:r>
      <w:r>
        <w:rPr>
          <w:rFonts w:hint="eastAsia" w:ascii="宋体" w:hAnsi="宋体" w:cs="宋体"/>
          <w:sz w:val="24"/>
          <w:highlight w:val="none"/>
        </w:rPr>
        <w:t>MVA</w:t>
      </w:r>
      <w:r>
        <w:rPr>
          <w:sz w:val="24"/>
          <w:szCs w:val="24"/>
          <w:highlight w:val="none"/>
        </w:rPr>
        <w:t>环氧浇铸干式变压器</w:t>
      </w:r>
      <w:r>
        <w:rPr>
          <w:rFonts w:hint="eastAsia"/>
          <w:sz w:val="24"/>
          <w:szCs w:val="24"/>
          <w:highlight w:val="none"/>
          <w:lang w:eastAsia="zh-CN"/>
        </w:rPr>
        <w:t>，</w:t>
      </w:r>
      <w:r>
        <w:rPr>
          <w:rFonts w:hint="eastAsia"/>
          <w:sz w:val="24"/>
          <w:szCs w:val="24"/>
          <w:highlight w:val="none"/>
          <w:lang w:val="en-US" w:eastAsia="zh-CN"/>
        </w:rPr>
        <w:t>型号为：</w:t>
      </w:r>
      <w:r>
        <w:rPr>
          <w:rFonts w:hint="eastAsia"/>
          <w:sz w:val="24"/>
          <w:szCs w:val="24"/>
          <w:highlight w:val="none"/>
          <w:lang w:eastAsia="zh-CN"/>
        </w:rPr>
        <w:t>SCB14-</w:t>
      </w:r>
      <w:r>
        <w:rPr>
          <w:rFonts w:hint="eastAsia"/>
          <w:sz w:val="24"/>
          <w:szCs w:val="24"/>
          <w:highlight w:val="none"/>
          <w:lang w:val="en-US" w:eastAsia="zh-CN"/>
        </w:rPr>
        <w:t>1250</w:t>
      </w:r>
      <w:r>
        <w:rPr>
          <w:rFonts w:hint="eastAsia"/>
          <w:sz w:val="24"/>
          <w:szCs w:val="24"/>
          <w:highlight w:val="none"/>
          <w:lang w:eastAsia="zh-CN"/>
        </w:rPr>
        <w:t>-10.5</w:t>
      </w:r>
      <w:r>
        <w:rPr>
          <w:rFonts w:hint="eastAsia" w:ascii="宋体" w:hAnsi="宋体" w:cs="宋体"/>
          <w:sz w:val="24"/>
          <w:highlight w:val="none"/>
        </w:rPr>
        <w:t>。变压器采用自然循环、强迫风冷。端子连接方式：高压侧为1</w:t>
      </w:r>
      <w:r>
        <w:rPr>
          <w:rFonts w:hint="eastAsia" w:ascii="宋体" w:hAnsi="宋体" w:cs="宋体"/>
          <w:sz w:val="24"/>
          <w:highlight w:val="none"/>
          <w:lang w:val="en-US" w:eastAsia="zh-CN"/>
        </w:rPr>
        <w:t>0.5</w:t>
      </w:r>
      <w:r>
        <w:rPr>
          <w:rFonts w:hint="eastAsia" w:ascii="宋体" w:hAnsi="宋体" w:cs="宋体"/>
          <w:sz w:val="24"/>
          <w:highlight w:val="none"/>
        </w:rPr>
        <w:t>kV离相封闭母线；低压侧为</w:t>
      </w:r>
      <w:r>
        <w:rPr>
          <w:rFonts w:hint="eastAsia" w:ascii="宋体" w:hAnsi="宋体" w:cs="宋体"/>
          <w:sz w:val="24"/>
          <w:highlight w:val="none"/>
          <w:lang w:val="en-US" w:eastAsia="zh-CN"/>
        </w:rPr>
        <w:t>0.4</w:t>
      </w:r>
      <w:r>
        <w:rPr>
          <w:rFonts w:hint="eastAsia" w:ascii="宋体" w:hAnsi="宋体" w:cs="宋体"/>
          <w:sz w:val="24"/>
          <w:highlight w:val="none"/>
        </w:rPr>
        <w:t>kV共箱封闭母线。</w:t>
      </w:r>
    </w:p>
    <w:p w14:paraId="77D0C8AB">
      <w:pPr>
        <w:spacing w:line="360" w:lineRule="auto"/>
        <w:ind w:firstLine="480" w:firstLineChars="200"/>
        <w:rPr>
          <w:rFonts w:hint="eastAsia" w:ascii="宋体" w:hAnsi="宋体" w:cs="宋体"/>
          <w:sz w:val="24"/>
          <w:highlight w:val="none"/>
        </w:rPr>
      </w:pPr>
      <w:r>
        <w:rPr>
          <w:rFonts w:hint="eastAsia" w:ascii="宋体" w:hAnsi="宋体" w:cs="宋体"/>
          <w:sz w:val="24"/>
          <w:highlight w:val="none"/>
          <w:lang w:val="en-US" w:eastAsia="zh-CN"/>
        </w:rPr>
        <w:t>1台1000KVA</w:t>
      </w:r>
      <w:r>
        <w:rPr>
          <w:sz w:val="24"/>
          <w:szCs w:val="24"/>
          <w:highlight w:val="none"/>
        </w:rPr>
        <w:t>环氧浇铸干式变压器</w:t>
      </w:r>
      <w:r>
        <w:rPr>
          <w:rFonts w:hint="eastAsia"/>
          <w:sz w:val="24"/>
          <w:szCs w:val="24"/>
          <w:highlight w:val="none"/>
          <w:lang w:val="en-US" w:eastAsia="zh-CN"/>
        </w:rPr>
        <w:t>供化水车间使用</w:t>
      </w:r>
      <w:r>
        <w:rPr>
          <w:rFonts w:hint="eastAsia"/>
          <w:sz w:val="24"/>
          <w:szCs w:val="24"/>
          <w:highlight w:val="none"/>
          <w:lang w:eastAsia="zh-CN"/>
        </w:rPr>
        <w:t>，</w:t>
      </w:r>
      <w:r>
        <w:rPr>
          <w:rFonts w:hint="eastAsia"/>
          <w:sz w:val="24"/>
          <w:szCs w:val="24"/>
          <w:highlight w:val="none"/>
          <w:lang w:val="en-US" w:eastAsia="zh-CN"/>
        </w:rPr>
        <w:t>型号为：</w:t>
      </w:r>
      <w:r>
        <w:rPr>
          <w:rFonts w:hint="eastAsia"/>
          <w:sz w:val="24"/>
          <w:szCs w:val="24"/>
          <w:highlight w:val="none"/>
          <w:lang w:eastAsia="zh-CN"/>
        </w:rPr>
        <w:t>SCB14-1000-10.5</w:t>
      </w:r>
      <w:r>
        <w:rPr>
          <w:rFonts w:hint="eastAsia" w:ascii="宋体" w:hAnsi="宋体" w:cs="宋体"/>
          <w:sz w:val="24"/>
          <w:highlight w:val="none"/>
          <w:lang w:eastAsia="zh-CN"/>
        </w:rPr>
        <w:t>，</w:t>
      </w:r>
      <w:r>
        <w:rPr>
          <w:rFonts w:hint="eastAsia" w:ascii="宋体" w:hAnsi="宋体" w:cs="宋体"/>
          <w:sz w:val="24"/>
          <w:highlight w:val="none"/>
        </w:rPr>
        <w:t>变压器采用自然循环、强迫风冷。端子连接方式：高压侧为1</w:t>
      </w:r>
      <w:r>
        <w:rPr>
          <w:rFonts w:hint="eastAsia" w:ascii="宋体" w:hAnsi="宋体" w:cs="宋体"/>
          <w:sz w:val="24"/>
          <w:highlight w:val="none"/>
          <w:lang w:val="en-US" w:eastAsia="zh-CN"/>
        </w:rPr>
        <w:t>0.5</w:t>
      </w:r>
      <w:r>
        <w:rPr>
          <w:rFonts w:hint="eastAsia" w:ascii="宋体" w:hAnsi="宋体" w:cs="宋体"/>
          <w:sz w:val="24"/>
          <w:highlight w:val="none"/>
        </w:rPr>
        <w:t>kV离相封闭母线；低压侧为</w:t>
      </w:r>
      <w:r>
        <w:rPr>
          <w:rFonts w:hint="eastAsia" w:ascii="宋体" w:hAnsi="宋体" w:cs="宋体"/>
          <w:sz w:val="24"/>
          <w:highlight w:val="none"/>
          <w:lang w:val="en-US" w:eastAsia="zh-CN"/>
        </w:rPr>
        <w:t>0.4</w:t>
      </w:r>
      <w:r>
        <w:rPr>
          <w:rFonts w:hint="eastAsia" w:ascii="宋体" w:hAnsi="宋体" w:cs="宋体"/>
          <w:sz w:val="24"/>
          <w:highlight w:val="none"/>
        </w:rPr>
        <w:t>kV共箱封闭母线。</w:t>
      </w:r>
    </w:p>
    <w:p w14:paraId="3D9420F2">
      <w:pPr>
        <w:pStyle w:val="5"/>
        <w:rPr>
          <w:rFonts w:hint="eastAsia"/>
        </w:rPr>
      </w:pPr>
      <w:r>
        <w:rPr>
          <w:rFonts w:hint="eastAsia" w:ascii="宋体" w:hAnsi="宋体" w:cs="宋体"/>
          <w:sz w:val="24"/>
          <w:highlight w:val="none"/>
          <w:lang w:val="en-US" w:eastAsia="zh-CN"/>
        </w:rPr>
        <w:t>热控系统概述</w:t>
      </w:r>
    </w:p>
    <w:p w14:paraId="1438EF96">
      <w:pPr>
        <w:spacing w:line="360" w:lineRule="auto"/>
        <w:ind w:firstLine="480" w:firstLineChars="200"/>
        <w:rPr>
          <w:rFonts w:hint="eastAsia" w:ascii="宋体" w:hAnsi="宋体" w:cs="宋体"/>
          <w:sz w:val="24"/>
          <w:highlight w:val="none"/>
          <w:lang w:val="en-US" w:eastAsia="zh-CN"/>
        </w:rPr>
      </w:pPr>
      <w:r>
        <w:rPr>
          <w:rFonts w:hint="eastAsia" w:ascii="宋体" w:hAnsi="宋体" w:cs="宋体"/>
          <w:sz w:val="24"/>
          <w:highlight w:val="none"/>
          <w:lang w:val="en-US" w:eastAsia="zh-CN"/>
        </w:rPr>
        <w:t>热控系统采用南京科远NT6000系统，设有锅炉过程子站、汽机过程子站、除氧综合控制子站、DEH控制子站、TSI/ETS保护子站，监控工艺流程中的压力、温度、水位、氧量、流量等，控制锅炉、汽机、化水系统稳定运行，保护锅炉、汽机安全运行，调整锅炉运行工况及汽机负荷，其点位设置1000余点。</w:t>
      </w:r>
    </w:p>
    <w:p w14:paraId="2C8DEEAF">
      <w:pPr>
        <w:spacing w:line="360" w:lineRule="auto"/>
        <w:ind w:firstLine="480" w:firstLineChars="200"/>
        <w:rPr>
          <w:rFonts w:hint="eastAsia" w:ascii="宋体" w:hAnsi="宋体" w:cs="宋体"/>
          <w:sz w:val="24"/>
          <w:highlight w:val="none"/>
          <w:lang w:val="en-US" w:eastAsia="zh-CN"/>
        </w:rPr>
      </w:pPr>
      <w:r>
        <w:rPr>
          <w:rFonts w:hint="eastAsia" w:ascii="宋体" w:hAnsi="宋体" w:cs="宋体"/>
          <w:sz w:val="24"/>
          <w:highlight w:val="none"/>
          <w:lang w:val="en-US" w:eastAsia="zh-CN"/>
        </w:rPr>
        <w:t>系统采用双电源供电，一路取自厂用电系统，另一路备用取自UPS系统。UPS系统自备蓄电池，在厂用电中段时为热控系统提供备用电源，保证热控系统1-2小时的不间断供电。</w:t>
      </w:r>
    </w:p>
    <w:p w14:paraId="156C92E1">
      <w:pPr>
        <w:spacing w:line="360" w:lineRule="auto"/>
        <w:ind w:firstLine="480" w:firstLineChars="200"/>
        <w:rPr>
          <w:rFonts w:hint="default"/>
          <w:lang w:val="en-US" w:eastAsia="zh-CN"/>
        </w:rPr>
      </w:pPr>
      <w:r>
        <w:rPr>
          <w:rFonts w:hint="eastAsia" w:ascii="宋体" w:hAnsi="宋体" w:cs="宋体"/>
          <w:sz w:val="24"/>
          <w:highlight w:val="none"/>
          <w:lang w:val="en-US" w:eastAsia="zh-CN"/>
        </w:rPr>
        <w:t xml:space="preserve">项目设置有工业电视监控系统，对锅炉燃烧、锅炉水位、生产区域、厂区道路进行监控并在中控室显示。   </w:t>
      </w:r>
      <w:r>
        <w:rPr>
          <w:rFonts w:hint="eastAsia"/>
          <w:lang w:val="en-US" w:eastAsia="zh-CN"/>
        </w:rPr>
        <w:t xml:space="preserve">     </w:t>
      </w:r>
    </w:p>
    <w:p w14:paraId="0E7ACF19">
      <w:pPr>
        <w:pStyle w:val="4"/>
        <w:rPr>
          <w:highlight w:val="none"/>
        </w:rPr>
      </w:pPr>
      <w:bookmarkStart w:id="7" w:name="_Toc11681"/>
      <w:r>
        <w:rPr>
          <w:rFonts w:hint="eastAsia"/>
          <w:highlight w:val="none"/>
        </w:rPr>
        <w:t>工作范围（范围依据设计图纸编制，最终以现场实际为准）</w:t>
      </w:r>
      <w:bookmarkEnd w:id="7"/>
    </w:p>
    <w:p w14:paraId="1E954AE7">
      <w:pPr>
        <w:pStyle w:val="5"/>
      </w:pPr>
      <w:r>
        <w:rPr>
          <w:rFonts w:hint="eastAsia"/>
        </w:rPr>
        <w:t>总</w:t>
      </w:r>
      <w:r>
        <w:rPr>
          <w:rFonts w:hint="eastAsia"/>
          <w:lang w:val="en-US" w:eastAsia="zh-CN"/>
        </w:rPr>
        <w:t>的</w:t>
      </w:r>
      <w:r>
        <w:t>要求</w:t>
      </w:r>
    </w:p>
    <w:p w14:paraId="6FBF8796">
      <w:pPr>
        <w:spacing w:line="360" w:lineRule="auto"/>
        <w:ind w:firstLine="480" w:firstLineChars="200"/>
        <w:rPr>
          <w:rFonts w:ascii="宋体" w:hAnsi="宋体" w:cs="宋体"/>
          <w:sz w:val="24"/>
        </w:rPr>
      </w:pPr>
      <w:r>
        <w:rPr>
          <w:rFonts w:hint="eastAsia"/>
          <w:sz w:val="24"/>
        </w:rPr>
        <w:t>投标人负责招标人厂内生活区域、生产区域及其配套的厂外部分</w:t>
      </w:r>
      <w:r>
        <w:rPr>
          <w:rFonts w:hint="eastAsia"/>
          <w:sz w:val="24"/>
          <w:lang w:eastAsia="zh-CN"/>
        </w:rPr>
        <w:t>（</w:t>
      </w:r>
      <w:r>
        <w:rPr>
          <w:rFonts w:hint="eastAsia"/>
          <w:sz w:val="24"/>
          <w:lang w:val="en-US" w:eastAsia="zh-CN"/>
        </w:rPr>
        <w:t>天然气管线、供热管线、电力送出线路、供水管线、排水管线</w:t>
      </w:r>
      <w:r>
        <w:rPr>
          <w:rFonts w:hint="eastAsia"/>
          <w:sz w:val="24"/>
          <w:lang w:eastAsia="zh-CN"/>
        </w:rPr>
        <w:t>）</w:t>
      </w:r>
      <w:r>
        <w:rPr>
          <w:rFonts w:hint="eastAsia"/>
          <w:sz w:val="24"/>
        </w:rPr>
        <w:t>的所有系统</w:t>
      </w:r>
      <w:r>
        <w:rPr>
          <w:rFonts w:hint="eastAsia"/>
          <w:sz w:val="24"/>
          <w:lang w:eastAsia="zh-CN"/>
        </w:rPr>
        <w:t>、</w:t>
      </w:r>
      <w:r>
        <w:rPr>
          <w:rFonts w:hint="eastAsia"/>
          <w:sz w:val="24"/>
        </w:rPr>
        <w:t>设备</w:t>
      </w:r>
      <w:r>
        <w:rPr>
          <w:rFonts w:hint="eastAsia"/>
          <w:sz w:val="24"/>
          <w:lang w:val="en-US" w:eastAsia="zh-CN"/>
        </w:rPr>
        <w:t>设施</w:t>
      </w:r>
      <w:r>
        <w:rPr>
          <w:rFonts w:hint="eastAsia"/>
          <w:sz w:val="24"/>
        </w:rPr>
        <w:t>的定期</w:t>
      </w:r>
      <w:r>
        <w:rPr>
          <w:rFonts w:hint="eastAsia"/>
          <w:sz w:val="24"/>
          <w:lang w:val="en-US" w:eastAsia="zh-CN"/>
        </w:rPr>
        <w:t>维护</w:t>
      </w:r>
      <w:r>
        <w:rPr>
          <w:rFonts w:hint="eastAsia"/>
          <w:sz w:val="24"/>
        </w:rPr>
        <w:t>工作、消缺、抢修、临修以及因检修工作破坏的建筑物及装修等的破坏、施工、恢复和设备保洁；</w:t>
      </w:r>
      <w:r>
        <w:rPr>
          <w:rFonts w:hint="eastAsia"/>
          <w:sz w:val="24"/>
          <w:highlight w:val="none"/>
        </w:rPr>
        <w:t>检修</w:t>
      </w:r>
      <w:r>
        <w:rPr>
          <w:rFonts w:hint="eastAsia"/>
          <w:sz w:val="24"/>
          <w:highlight w:val="none"/>
          <w:lang w:val="en-US" w:eastAsia="zh-CN"/>
        </w:rPr>
        <w:t>维护</w:t>
      </w:r>
      <w:r>
        <w:rPr>
          <w:rFonts w:hint="eastAsia"/>
          <w:sz w:val="24"/>
          <w:highlight w:val="none"/>
        </w:rPr>
        <w:t>需要的焊接</w:t>
      </w:r>
      <w:r>
        <w:rPr>
          <w:rFonts w:hint="eastAsia"/>
          <w:sz w:val="24"/>
          <w:highlight w:val="none"/>
          <w:lang w:eastAsia="zh-CN"/>
        </w:rPr>
        <w:t>、</w:t>
      </w:r>
      <w:r>
        <w:rPr>
          <w:rFonts w:hint="eastAsia"/>
          <w:sz w:val="24"/>
          <w:highlight w:val="none"/>
        </w:rPr>
        <w:t>热处理工作；</w:t>
      </w:r>
      <w:r>
        <w:rPr>
          <w:rFonts w:hint="eastAsia"/>
          <w:sz w:val="24"/>
        </w:rPr>
        <w:t>消防水系统范围内的管道阀门的消缺等日常维护工作</w:t>
      </w:r>
      <w:r>
        <w:rPr>
          <w:rFonts w:hint="eastAsia"/>
          <w:sz w:val="24"/>
          <w:lang w:val="en-US" w:eastAsia="zh-CN"/>
        </w:rPr>
        <w:t>等</w:t>
      </w:r>
      <w:r>
        <w:rPr>
          <w:rFonts w:hint="eastAsia" w:ascii="宋体" w:hAnsi="宋体" w:cs="宋体"/>
          <w:sz w:val="24"/>
        </w:rPr>
        <w:t>。</w:t>
      </w:r>
    </w:p>
    <w:p w14:paraId="1DEEF2AC">
      <w:pPr>
        <w:pStyle w:val="5"/>
        <w:rPr>
          <w:rFonts w:hint="eastAsia" w:ascii="Times New Roman" w:hAnsi="Times New Roman" w:eastAsia="宋体" w:cs="Times New Roman"/>
          <w:bCs w:val="0"/>
          <w:kern w:val="2"/>
          <w:sz w:val="24"/>
          <w:szCs w:val="24"/>
          <w:lang w:val="en-US" w:eastAsia="zh-CN" w:bidi="ar-SA"/>
        </w:rPr>
      </w:pPr>
      <w:r>
        <w:rPr>
          <w:rFonts w:hint="eastAsia" w:ascii="Times New Roman" w:hAnsi="Times New Roman" w:eastAsia="宋体" w:cs="Times New Roman"/>
          <w:bCs w:val="0"/>
          <w:kern w:val="2"/>
          <w:sz w:val="24"/>
          <w:szCs w:val="24"/>
          <w:lang w:val="en-US" w:eastAsia="zh-CN" w:bidi="ar-SA"/>
        </w:rPr>
        <w:t>机务专业工作范围</w:t>
      </w:r>
    </w:p>
    <w:p w14:paraId="17B8AD96">
      <w:pPr>
        <w:spacing w:line="360" w:lineRule="auto"/>
        <w:ind w:firstLine="480" w:firstLineChars="200"/>
        <w:jc w:val="left"/>
        <w:rPr>
          <w:rFonts w:hint="eastAsia" w:ascii="Times New Roman" w:hAnsi="Times New Roman" w:eastAsia="宋体" w:cs="Times New Roman"/>
          <w:bCs w:val="0"/>
          <w:kern w:val="2"/>
          <w:sz w:val="24"/>
          <w:szCs w:val="24"/>
          <w:lang w:val="en-US" w:eastAsia="zh-CN" w:bidi="ar-SA"/>
        </w:rPr>
      </w:pPr>
      <w:r>
        <w:rPr>
          <w:rFonts w:hint="eastAsia" w:ascii="Times New Roman" w:hAnsi="Times New Roman" w:eastAsia="宋体" w:cs="Times New Roman"/>
          <w:bCs w:val="0"/>
          <w:kern w:val="2"/>
          <w:sz w:val="24"/>
          <w:szCs w:val="24"/>
          <w:lang w:val="en-US" w:eastAsia="zh-CN" w:bidi="ar-SA"/>
        </w:rPr>
        <w:t>机务专业的日常维护区域：全厂机务设备包括所有转动机械、管道、阀门、容器等设备和平台栏杆的巡视、检查和日常维护。包括但不限于以下内容：</w:t>
      </w:r>
    </w:p>
    <w:p w14:paraId="2197F336">
      <w:pPr>
        <w:pStyle w:val="6"/>
        <w:rPr>
          <w:rFonts w:hint="eastAsia"/>
          <w:color w:val="auto"/>
          <w:highlight w:val="none"/>
          <w:lang w:val="en-US" w:eastAsia="zh-CN"/>
        </w:rPr>
      </w:pPr>
      <w:r>
        <w:rPr>
          <w:rFonts w:hint="eastAsia"/>
          <w:color w:val="auto"/>
          <w:highlight w:val="none"/>
          <w:lang w:val="en-US" w:eastAsia="zh-CN"/>
        </w:rPr>
        <w:t>锅炉本体：本体设备、管道及阀门等。</w:t>
      </w:r>
    </w:p>
    <w:p w14:paraId="1E71F446">
      <w:pPr>
        <w:pStyle w:val="6"/>
        <w:rPr>
          <w:rFonts w:hint="eastAsia"/>
          <w:color w:val="auto"/>
          <w:highlight w:val="none"/>
          <w:lang w:val="en-US" w:eastAsia="zh-CN"/>
        </w:rPr>
      </w:pPr>
      <w:r>
        <w:rPr>
          <w:rFonts w:hint="eastAsia"/>
          <w:color w:val="auto"/>
          <w:highlight w:val="none"/>
          <w:lang w:val="en-US" w:eastAsia="zh-CN"/>
        </w:rPr>
        <w:t>锅炉烟风系统：鼓风机、引风机、再循环风机及其调门、执行器等，冷风道、烟道及支吊架等；</w:t>
      </w:r>
    </w:p>
    <w:p w14:paraId="0B32D8D6">
      <w:pPr>
        <w:pStyle w:val="6"/>
        <w:rPr>
          <w:rFonts w:hint="eastAsia"/>
          <w:color w:val="auto"/>
          <w:highlight w:val="none"/>
          <w:lang w:val="en-US" w:eastAsia="zh-CN"/>
        </w:rPr>
      </w:pPr>
      <w:r>
        <w:rPr>
          <w:rFonts w:hint="eastAsia"/>
          <w:color w:val="auto"/>
          <w:highlight w:val="none"/>
          <w:lang w:val="en-US" w:eastAsia="zh-CN"/>
        </w:rPr>
        <w:t>锅炉其它辅机：定期排污扩容器、连续排污扩容器、给水泵、过热器排空管道与消音器、锅筒安全阀消音器、过热器安全阀消音器以及附属管道与阀门、汽水取样装置及集中取样槽等，以及锅炉联箱、管道等保温层；</w:t>
      </w:r>
    </w:p>
    <w:p w14:paraId="2E4BE874">
      <w:pPr>
        <w:pStyle w:val="6"/>
        <w:rPr>
          <w:rFonts w:hint="eastAsia"/>
          <w:color w:val="auto"/>
          <w:highlight w:val="none"/>
          <w:lang w:val="en-US" w:eastAsia="zh-CN"/>
        </w:rPr>
      </w:pPr>
      <w:r>
        <w:rPr>
          <w:rFonts w:hint="eastAsia"/>
          <w:color w:val="auto"/>
          <w:highlight w:val="none"/>
          <w:lang w:val="en-US" w:eastAsia="zh-CN"/>
        </w:rPr>
        <w:t>热力系统：主蒸汽管道及阀门、背压排汽管道及阀门、主给水管道及阀门、中低压给水管道及阀门、分汽缸、减温减压器、除氧器、疏水泵、疏水箱、疏水扩容器、凝结水箱、凝结水泵、低位水箱、低位水泵等及其附属管道、支吊架等；</w:t>
      </w:r>
    </w:p>
    <w:p w14:paraId="709ACDE1">
      <w:pPr>
        <w:pStyle w:val="6"/>
        <w:rPr>
          <w:rFonts w:hint="eastAsia"/>
          <w:color w:val="auto"/>
          <w:highlight w:val="none"/>
          <w:lang w:val="en-US" w:eastAsia="zh-CN"/>
        </w:rPr>
      </w:pPr>
      <w:r>
        <w:rPr>
          <w:rFonts w:hint="eastAsia"/>
          <w:color w:val="auto"/>
          <w:highlight w:val="none"/>
          <w:lang w:val="en-US" w:eastAsia="zh-CN"/>
        </w:rPr>
        <w:t>汽机系统：汽轮发电机组本体、冷油器、空气冷却器冷却水管道及阀门；事故油池连接管道及阀门；汽封加热器（含附属管道）、汽轮机本体汽封（含门杆漏气管道），以及汽轮机本体及附属设备与管道；</w:t>
      </w:r>
    </w:p>
    <w:p w14:paraId="6A0BEA08">
      <w:pPr>
        <w:pStyle w:val="6"/>
        <w:rPr>
          <w:rFonts w:hint="eastAsia"/>
          <w:color w:val="auto"/>
          <w:highlight w:val="none"/>
          <w:lang w:val="en-US" w:eastAsia="zh-CN"/>
        </w:rPr>
      </w:pPr>
      <w:r>
        <w:rPr>
          <w:rFonts w:hint="eastAsia"/>
          <w:color w:val="auto"/>
          <w:highlight w:val="none"/>
          <w:lang w:val="en-US" w:eastAsia="zh-CN"/>
        </w:rPr>
        <w:t>厂内外供热管道：厂区及厂外热（冷）网管道及阀门、支吊架等；</w:t>
      </w:r>
    </w:p>
    <w:p w14:paraId="3CDB4A0A">
      <w:pPr>
        <w:pStyle w:val="6"/>
        <w:rPr>
          <w:rFonts w:hint="eastAsia"/>
          <w:color w:val="auto"/>
          <w:highlight w:val="none"/>
          <w:lang w:val="en-US" w:eastAsia="zh-CN"/>
        </w:rPr>
      </w:pPr>
      <w:r>
        <w:rPr>
          <w:rFonts w:hint="eastAsia"/>
          <w:color w:val="auto"/>
          <w:highlight w:val="none"/>
          <w:lang w:val="en-US" w:eastAsia="zh-CN"/>
        </w:rPr>
        <w:t>循环水系统：循环水泵、循环水管道及阀门、支吊架等；</w:t>
      </w:r>
    </w:p>
    <w:p w14:paraId="691DE4B7">
      <w:pPr>
        <w:pStyle w:val="6"/>
        <w:rPr>
          <w:rFonts w:hint="eastAsia"/>
          <w:color w:val="auto"/>
          <w:highlight w:val="none"/>
          <w:lang w:val="en-US" w:eastAsia="zh-CN"/>
        </w:rPr>
      </w:pPr>
      <w:r>
        <w:rPr>
          <w:rFonts w:hint="eastAsia"/>
          <w:color w:val="auto"/>
          <w:highlight w:val="none"/>
          <w:lang w:val="en-US" w:eastAsia="zh-CN"/>
        </w:rPr>
        <w:t>压缩空气系统：空压机及附属设备、管道及阀门、支吊架等；空压机主机和后处理设备的定期保养除外。</w:t>
      </w:r>
    </w:p>
    <w:p w14:paraId="77DD7922">
      <w:pPr>
        <w:pStyle w:val="6"/>
        <w:rPr>
          <w:rFonts w:hint="eastAsia"/>
          <w:color w:val="auto"/>
          <w:highlight w:val="none"/>
          <w:lang w:val="en-US" w:eastAsia="zh-CN"/>
        </w:rPr>
      </w:pPr>
      <w:r>
        <w:rPr>
          <w:rFonts w:hint="eastAsia"/>
          <w:color w:val="auto"/>
          <w:highlight w:val="none"/>
          <w:lang w:val="en-US" w:eastAsia="zh-CN"/>
        </w:rPr>
        <w:t>锅炉本体至排污扩容器管道及阀门等；</w:t>
      </w:r>
    </w:p>
    <w:p w14:paraId="4B467EA8">
      <w:pPr>
        <w:pStyle w:val="6"/>
        <w:rPr>
          <w:rFonts w:hint="eastAsia"/>
          <w:color w:val="auto"/>
          <w:highlight w:val="none"/>
          <w:lang w:val="en-US" w:eastAsia="zh-CN"/>
        </w:rPr>
      </w:pPr>
      <w:r>
        <w:rPr>
          <w:rFonts w:hint="eastAsia"/>
          <w:color w:val="auto"/>
          <w:highlight w:val="none"/>
          <w:lang w:val="en-US" w:eastAsia="zh-CN"/>
        </w:rPr>
        <w:t>疏水系统管道及阀门等；</w:t>
      </w:r>
    </w:p>
    <w:p w14:paraId="23BAB1C9">
      <w:pPr>
        <w:pStyle w:val="6"/>
        <w:rPr>
          <w:rFonts w:hint="eastAsia"/>
          <w:color w:val="auto"/>
          <w:highlight w:val="none"/>
          <w:lang w:val="en-US" w:eastAsia="zh-CN"/>
        </w:rPr>
      </w:pPr>
      <w:r>
        <w:rPr>
          <w:rFonts w:hint="eastAsia"/>
          <w:color w:val="auto"/>
          <w:highlight w:val="none"/>
          <w:lang w:val="en-US" w:eastAsia="zh-CN"/>
        </w:rPr>
        <w:t>自立式钢烟囱；</w:t>
      </w:r>
    </w:p>
    <w:p w14:paraId="105E9E31">
      <w:pPr>
        <w:pStyle w:val="6"/>
        <w:rPr>
          <w:rFonts w:hint="eastAsia"/>
          <w:color w:val="auto"/>
          <w:highlight w:val="none"/>
          <w:lang w:val="en-US" w:eastAsia="zh-CN"/>
        </w:rPr>
      </w:pPr>
      <w:r>
        <w:rPr>
          <w:rFonts w:hint="eastAsia"/>
          <w:color w:val="auto"/>
          <w:highlight w:val="none"/>
          <w:lang w:val="en-US" w:eastAsia="zh-CN"/>
        </w:rPr>
        <w:t>消防系统：消防泵、稳压装置、厂区内消防管道、阀门（含消防栓箱）等、消防水池（水箱/水池清理淤泥清运）所有管道及阀门等、水池清理淤泥清运；</w:t>
      </w:r>
    </w:p>
    <w:p w14:paraId="62D8D467">
      <w:pPr>
        <w:pStyle w:val="6"/>
        <w:rPr>
          <w:rFonts w:hint="eastAsia"/>
          <w:color w:val="auto"/>
          <w:highlight w:val="none"/>
          <w:lang w:val="en-US" w:eastAsia="zh-CN"/>
        </w:rPr>
      </w:pPr>
      <w:r>
        <w:rPr>
          <w:rFonts w:hint="eastAsia"/>
          <w:color w:val="auto"/>
          <w:highlight w:val="none"/>
          <w:lang w:val="en-US" w:eastAsia="zh-CN"/>
        </w:rPr>
        <w:t>负责所有管道的介质名称及介质流向标识维护；</w:t>
      </w:r>
    </w:p>
    <w:p w14:paraId="3AAC209F">
      <w:pPr>
        <w:pStyle w:val="6"/>
        <w:rPr>
          <w:rFonts w:hint="eastAsia"/>
          <w:color w:val="auto"/>
          <w:highlight w:val="none"/>
          <w:lang w:val="en-US" w:eastAsia="zh-CN"/>
        </w:rPr>
      </w:pPr>
      <w:r>
        <w:rPr>
          <w:rFonts w:hint="eastAsia"/>
          <w:color w:val="auto"/>
          <w:highlight w:val="none"/>
          <w:lang w:val="en-US" w:eastAsia="zh-CN"/>
        </w:rPr>
        <w:t>天然气调压站（含站内接锅炉燃烧器段供气管道）及燃烧器前燃气管道与燃烧器连接段管道；</w:t>
      </w:r>
    </w:p>
    <w:p w14:paraId="483AABBB">
      <w:pPr>
        <w:pStyle w:val="6"/>
        <w:rPr>
          <w:rFonts w:hint="eastAsia"/>
          <w:color w:val="auto"/>
          <w:highlight w:val="none"/>
          <w:lang w:val="en-US" w:eastAsia="zh-CN"/>
        </w:rPr>
      </w:pPr>
      <w:r>
        <w:rPr>
          <w:rFonts w:hint="eastAsia"/>
          <w:color w:val="auto"/>
          <w:highlight w:val="none"/>
          <w:lang w:val="en-US" w:eastAsia="zh-CN"/>
        </w:rPr>
        <w:t>厂内行车（含轨道）的日常维护保养，共3台，其中：主厂房汽机间20/5t行车1台，联合水泵房3t行车1台，锅炉炉顶1t行车1台；</w:t>
      </w:r>
    </w:p>
    <w:p w14:paraId="05EA12BA">
      <w:pPr>
        <w:pStyle w:val="6"/>
        <w:rPr>
          <w:rFonts w:hint="eastAsia"/>
          <w:color w:val="auto"/>
          <w:highlight w:val="none"/>
          <w:lang w:val="en-US" w:eastAsia="zh-CN"/>
        </w:rPr>
      </w:pPr>
      <w:r>
        <w:rPr>
          <w:rFonts w:hint="eastAsia"/>
          <w:color w:val="auto"/>
          <w:highlight w:val="none"/>
          <w:lang w:val="en-US" w:eastAsia="zh-CN"/>
        </w:rPr>
        <w:t>冷却塔本体及管道、阀门；</w:t>
      </w:r>
    </w:p>
    <w:p w14:paraId="4A8409BB">
      <w:pPr>
        <w:pStyle w:val="6"/>
        <w:rPr>
          <w:rFonts w:hint="eastAsia"/>
          <w:color w:val="auto"/>
          <w:highlight w:val="none"/>
          <w:lang w:val="en-US" w:eastAsia="zh-CN"/>
        </w:rPr>
      </w:pPr>
      <w:r>
        <w:rPr>
          <w:rFonts w:hint="eastAsia"/>
          <w:color w:val="auto"/>
          <w:highlight w:val="none"/>
          <w:lang w:val="en-US" w:eastAsia="zh-CN"/>
        </w:rPr>
        <w:t>锅炉钢结构设备：包括钢架、屋顶、护板、受热面及管道的支吊装置、平台、楼梯、刚性梁、烟道支架、膨胀指示器、雨水管等。</w:t>
      </w:r>
    </w:p>
    <w:p w14:paraId="5397679A">
      <w:pPr>
        <w:pStyle w:val="6"/>
        <w:rPr>
          <w:rFonts w:hint="eastAsia"/>
          <w:color w:val="auto"/>
          <w:highlight w:val="none"/>
          <w:lang w:val="en-US" w:eastAsia="zh-CN"/>
        </w:rPr>
      </w:pPr>
      <w:r>
        <w:rPr>
          <w:rFonts w:hint="eastAsia"/>
          <w:color w:val="auto"/>
          <w:highlight w:val="none"/>
          <w:lang w:val="en-US" w:eastAsia="zh-CN"/>
        </w:rPr>
        <w:t>空调排水管道。</w:t>
      </w:r>
    </w:p>
    <w:p w14:paraId="7197A084">
      <w:pPr>
        <w:pStyle w:val="6"/>
        <w:rPr>
          <w:rFonts w:hint="eastAsia"/>
          <w:color w:val="auto"/>
          <w:highlight w:val="none"/>
          <w:lang w:val="en-US" w:eastAsia="zh-CN"/>
        </w:rPr>
      </w:pPr>
      <w:r>
        <w:rPr>
          <w:rFonts w:hint="eastAsia"/>
          <w:color w:val="auto"/>
          <w:highlight w:val="none"/>
          <w:lang w:val="en-US" w:eastAsia="zh-CN"/>
        </w:rPr>
        <w:t>所有地下管网及排污系统：包括但不限于除盐水、工业水管网、生活水管网、生活污水、雨水、消防水管网、供热管网、供热回水、废水回收等的管道阀门，排污坑清理及排污泵设备及管道。</w:t>
      </w:r>
    </w:p>
    <w:p w14:paraId="694194DA">
      <w:pPr>
        <w:pStyle w:val="6"/>
        <w:rPr>
          <w:rFonts w:hint="eastAsia"/>
          <w:lang w:val="en-US" w:eastAsia="zh-CN"/>
        </w:rPr>
      </w:pPr>
      <w:r>
        <w:rPr>
          <w:rFonts w:hint="eastAsia"/>
          <w:color w:val="auto"/>
          <w:highlight w:val="none"/>
          <w:lang w:val="en-US" w:eastAsia="zh-CN"/>
        </w:rPr>
        <w:t>生活水系统：全厂（含维保生活区）生活水系统所有设备、管道。</w:t>
      </w:r>
    </w:p>
    <w:p w14:paraId="3D315F35">
      <w:pPr>
        <w:pStyle w:val="6"/>
        <w:rPr>
          <w:rFonts w:hint="eastAsia" w:ascii="Cambria" w:hAnsi="Cambria" w:eastAsia="宋体" w:cs="Times New Roman"/>
          <w:bCs/>
          <w:color w:val="auto"/>
          <w:kern w:val="2"/>
          <w:sz w:val="24"/>
          <w:szCs w:val="28"/>
          <w:highlight w:val="none"/>
          <w:lang w:val="en-US" w:eastAsia="zh-CN" w:bidi="ar-SA"/>
        </w:rPr>
      </w:pPr>
      <w:r>
        <w:rPr>
          <w:rFonts w:hint="eastAsia"/>
          <w:color w:val="auto"/>
          <w:highlight w:val="none"/>
          <w:lang w:val="en-US" w:eastAsia="zh-CN"/>
        </w:rPr>
        <w:t>厂内深水抽水泵及管路。</w:t>
      </w:r>
    </w:p>
    <w:p w14:paraId="5D8DB879">
      <w:pPr>
        <w:pStyle w:val="6"/>
        <w:rPr>
          <w:rFonts w:hint="eastAsia" w:ascii="Cambria" w:hAnsi="Cambria" w:eastAsia="宋体" w:cs="Times New Roman"/>
          <w:bCs/>
          <w:color w:val="auto"/>
          <w:kern w:val="2"/>
          <w:sz w:val="24"/>
          <w:szCs w:val="28"/>
          <w:highlight w:val="none"/>
          <w:lang w:val="en-US" w:eastAsia="zh-CN" w:bidi="ar-SA"/>
        </w:rPr>
      </w:pPr>
      <w:r>
        <w:rPr>
          <w:rFonts w:hint="eastAsia" w:ascii="Cambria" w:hAnsi="Cambria" w:eastAsia="宋体" w:cs="Times New Roman"/>
          <w:bCs/>
          <w:color w:val="auto"/>
          <w:kern w:val="2"/>
          <w:sz w:val="24"/>
          <w:szCs w:val="28"/>
          <w:highlight w:val="none"/>
          <w:lang w:val="en-US" w:eastAsia="zh-CN" w:bidi="ar-SA"/>
        </w:rPr>
        <w:t>其它与机务专业不可分割的附属设备设施</w:t>
      </w:r>
    </w:p>
    <w:p w14:paraId="715C3F44">
      <w:pPr>
        <w:pStyle w:val="5"/>
        <w:rPr>
          <w:color w:val="auto"/>
          <w:highlight w:val="none"/>
        </w:rPr>
      </w:pPr>
      <w:r>
        <w:rPr>
          <w:rFonts w:hint="eastAsia"/>
          <w:color w:val="auto"/>
          <w:highlight w:val="none"/>
        </w:rPr>
        <w:t>电气专业工作范围</w:t>
      </w:r>
    </w:p>
    <w:p w14:paraId="13D00ED1">
      <w:pPr>
        <w:tabs>
          <w:tab w:val="left" w:pos="0"/>
          <w:tab w:val="left" w:pos="60"/>
        </w:tabs>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全厂范围内的电气设备，包括但不限于如下：</w:t>
      </w:r>
    </w:p>
    <w:p w14:paraId="14FD421C">
      <w:pPr>
        <w:tabs>
          <w:tab w:val="left" w:pos="0"/>
          <w:tab w:val="left" w:pos="60"/>
        </w:tabs>
        <w:spacing w:line="360" w:lineRule="auto"/>
        <w:ind w:firstLine="480" w:firstLineChars="200"/>
        <w:rPr>
          <w:rFonts w:ascii="宋体" w:hAnsi="宋体" w:cs="宋体"/>
          <w:b/>
          <w:color w:val="auto"/>
          <w:sz w:val="24"/>
          <w:highlight w:val="none"/>
        </w:rPr>
      </w:pPr>
      <w:r>
        <w:rPr>
          <w:rFonts w:hint="eastAsia" w:ascii="宋体" w:hAnsi="宋体" w:cs="宋体"/>
          <w:color w:val="auto"/>
          <w:sz w:val="24"/>
          <w:highlight w:val="none"/>
        </w:rPr>
        <w:t>发电机、辅机电气部分；厂变、备</w:t>
      </w:r>
      <w:r>
        <w:rPr>
          <w:rFonts w:hint="eastAsia" w:ascii="宋体" w:hAnsi="宋体" w:cs="宋体"/>
          <w:color w:val="auto"/>
          <w:sz w:val="24"/>
          <w:highlight w:val="none"/>
          <w:lang w:val="en-US" w:eastAsia="zh-CN"/>
        </w:rPr>
        <w:t>用</w:t>
      </w:r>
      <w:r>
        <w:rPr>
          <w:rFonts w:hint="eastAsia" w:ascii="宋体" w:hAnsi="宋体" w:cs="宋体"/>
          <w:color w:val="auto"/>
          <w:sz w:val="24"/>
          <w:highlight w:val="none"/>
        </w:rPr>
        <w:t>变</w:t>
      </w:r>
      <w:r>
        <w:rPr>
          <w:rFonts w:hint="eastAsia" w:ascii="宋体" w:hAnsi="宋体" w:cs="宋体"/>
          <w:color w:val="auto"/>
          <w:sz w:val="24"/>
          <w:highlight w:val="none"/>
          <w:lang w:eastAsia="zh-CN"/>
        </w:rPr>
        <w:t>、</w:t>
      </w:r>
      <w:r>
        <w:rPr>
          <w:rFonts w:hint="eastAsia" w:ascii="宋体" w:hAnsi="宋体" w:cs="宋体"/>
          <w:color w:val="auto"/>
          <w:sz w:val="24"/>
          <w:highlight w:val="none"/>
          <w:lang w:val="en-US" w:eastAsia="zh-CN"/>
        </w:rPr>
        <w:t>化水变</w:t>
      </w:r>
      <w:r>
        <w:rPr>
          <w:rFonts w:hint="eastAsia" w:ascii="宋体" w:hAnsi="宋体" w:cs="宋体"/>
          <w:color w:val="auto"/>
          <w:sz w:val="24"/>
          <w:highlight w:val="none"/>
        </w:rPr>
        <w:t>本体及辅助设备；</w:t>
      </w:r>
      <w:r>
        <w:rPr>
          <w:rFonts w:hint="eastAsia" w:ascii="宋体" w:hAnsi="宋体" w:cs="宋体"/>
          <w:color w:val="auto"/>
          <w:sz w:val="24"/>
          <w:highlight w:val="none"/>
          <w:lang w:val="en-US" w:eastAsia="zh-CN"/>
        </w:rPr>
        <w:t>1</w:t>
      </w:r>
      <w:r>
        <w:rPr>
          <w:rFonts w:hint="eastAsia" w:ascii="宋体" w:hAnsi="宋体" w:cs="宋体"/>
          <w:color w:val="auto"/>
          <w:sz w:val="24"/>
          <w:highlight w:val="none"/>
        </w:rPr>
        <w:t>0</w:t>
      </w:r>
      <w:r>
        <w:rPr>
          <w:rFonts w:ascii="宋体" w:hAnsi="宋体" w:cs="宋体"/>
          <w:color w:val="auto"/>
          <w:sz w:val="24"/>
          <w:highlight w:val="none"/>
        </w:rPr>
        <w:t>k</w:t>
      </w:r>
      <w:r>
        <w:rPr>
          <w:rFonts w:hint="eastAsia" w:ascii="宋体" w:hAnsi="宋体" w:cs="宋体"/>
          <w:color w:val="auto"/>
          <w:sz w:val="24"/>
          <w:highlight w:val="none"/>
        </w:rPr>
        <w:t>V、0.4</w:t>
      </w:r>
      <w:r>
        <w:rPr>
          <w:rFonts w:ascii="宋体" w:hAnsi="宋体" w:cs="宋体"/>
          <w:color w:val="auto"/>
          <w:sz w:val="24"/>
          <w:highlight w:val="none"/>
        </w:rPr>
        <w:t>k</w:t>
      </w:r>
      <w:r>
        <w:rPr>
          <w:rFonts w:hint="eastAsia" w:ascii="宋体" w:hAnsi="宋体" w:cs="宋体"/>
          <w:color w:val="auto"/>
          <w:sz w:val="24"/>
          <w:highlight w:val="none"/>
        </w:rPr>
        <w:t>V及UPS、直流系统等配电设备；在投标人责任区域内的其他电气配合工作（如：起重、消防、焊接等）。主要设备包括但不限于如下：</w:t>
      </w:r>
    </w:p>
    <w:p w14:paraId="6FCAFF3B">
      <w:pPr>
        <w:pStyle w:val="6"/>
        <w:rPr>
          <w:color w:val="auto"/>
          <w:highlight w:val="none"/>
        </w:rPr>
      </w:pPr>
      <w:r>
        <w:rPr>
          <w:rFonts w:hint="eastAsia"/>
          <w:color w:val="auto"/>
          <w:highlight w:val="none"/>
        </w:rPr>
        <w:t>发电机系统：发电机本体及其附属设备、发电机封闭母线及其它配套设备（电压互感器、电流互感器、中性点接地</w:t>
      </w:r>
      <w:r>
        <w:rPr>
          <w:rFonts w:hint="eastAsia"/>
          <w:color w:val="auto"/>
          <w:highlight w:val="none"/>
          <w:lang w:eastAsia="zh-CN"/>
        </w:rPr>
        <w:t>，</w:t>
      </w:r>
      <w:r>
        <w:rPr>
          <w:rFonts w:hint="eastAsia"/>
          <w:color w:val="auto"/>
          <w:highlight w:val="none"/>
        </w:rPr>
        <w:t>变压器柜、避雷器、微正压装置、主回路短路试验连接装置、伸缩接头、防潮呼吸器、测温装置、疏水泄放装置、外壳端部铝短路板等）、发电机冷却系统及附属检测设备等。</w:t>
      </w:r>
    </w:p>
    <w:p w14:paraId="1978BCCF">
      <w:pPr>
        <w:pStyle w:val="6"/>
        <w:rPr>
          <w:color w:val="auto"/>
          <w:highlight w:val="none"/>
        </w:rPr>
      </w:pPr>
      <w:r>
        <w:rPr>
          <w:rFonts w:hint="eastAsia"/>
          <w:color w:val="auto"/>
          <w:highlight w:val="none"/>
        </w:rPr>
        <w:t>励磁系统：励磁变压器、</w:t>
      </w:r>
      <w:r>
        <w:rPr>
          <w:rFonts w:hint="eastAsia"/>
          <w:color w:val="auto"/>
          <w:highlight w:val="none"/>
          <w:lang w:val="en-US" w:eastAsia="zh-CN"/>
        </w:rPr>
        <w:t>励磁调节器</w:t>
      </w:r>
      <w:r>
        <w:rPr>
          <w:rFonts w:hint="eastAsia"/>
          <w:color w:val="auto"/>
          <w:highlight w:val="none"/>
        </w:rPr>
        <w:t>、励磁开关、整流柜、隔离变压器及其它附属设备等。</w:t>
      </w:r>
    </w:p>
    <w:p w14:paraId="3AFDFE2F">
      <w:pPr>
        <w:pStyle w:val="6"/>
        <w:rPr>
          <w:color w:val="auto"/>
          <w:highlight w:val="none"/>
        </w:rPr>
      </w:pPr>
      <w:r>
        <w:rPr>
          <w:rFonts w:hint="eastAsia"/>
          <w:color w:val="auto"/>
          <w:highlight w:val="none"/>
          <w:lang w:val="en-US" w:eastAsia="zh-CN"/>
        </w:rPr>
        <w:t>化水</w:t>
      </w:r>
      <w:r>
        <w:rPr>
          <w:rFonts w:hint="eastAsia"/>
          <w:color w:val="auto"/>
          <w:highlight w:val="none"/>
        </w:rPr>
        <w:t>变：变压器本体设备、中性点设备及其附属一次设备；冷却控制箱体、风扇及控制动力部分、高压侧电缆、避雷器及附属设备等；低压侧共箱母线等设备设施。</w:t>
      </w:r>
    </w:p>
    <w:p w14:paraId="0B1FF3B7">
      <w:pPr>
        <w:pStyle w:val="6"/>
        <w:rPr>
          <w:color w:val="auto"/>
          <w:highlight w:val="none"/>
        </w:rPr>
      </w:pPr>
      <w:r>
        <w:rPr>
          <w:rFonts w:hint="eastAsia"/>
          <w:color w:val="auto"/>
          <w:highlight w:val="none"/>
          <w:lang w:val="en-US" w:eastAsia="zh-CN"/>
        </w:rPr>
        <w:t>厂用</w:t>
      </w:r>
      <w:r>
        <w:rPr>
          <w:rFonts w:hint="eastAsia"/>
          <w:color w:val="auto"/>
          <w:highlight w:val="none"/>
        </w:rPr>
        <w:t>变：变压器本体设备、中性点设备及其附属一次设备；冷却控制箱体、风扇及控制动力部分、高压侧电缆、支柱绝缘子、避雷器及附属设备等；低压侧共箱母线等设备设施。</w:t>
      </w:r>
    </w:p>
    <w:p w14:paraId="10CB3AE6">
      <w:pPr>
        <w:pStyle w:val="6"/>
        <w:rPr>
          <w:color w:val="auto"/>
          <w:highlight w:val="none"/>
        </w:rPr>
      </w:pPr>
      <w:r>
        <w:rPr>
          <w:rFonts w:hint="eastAsia"/>
          <w:color w:val="auto"/>
          <w:highlight w:val="none"/>
        </w:rPr>
        <w:t>备</w:t>
      </w:r>
      <w:r>
        <w:rPr>
          <w:rFonts w:hint="eastAsia"/>
          <w:color w:val="auto"/>
          <w:highlight w:val="none"/>
          <w:lang w:val="en-US" w:eastAsia="zh-CN"/>
        </w:rPr>
        <w:t>用</w:t>
      </w:r>
      <w:r>
        <w:rPr>
          <w:rFonts w:hint="eastAsia"/>
          <w:color w:val="auto"/>
          <w:highlight w:val="none"/>
        </w:rPr>
        <w:t>变：变压器本体设备、中性点设备及其附属一次设备；冷却控制箱体、风扇及控制动力部分、高压侧电缆、支柱绝缘子、避雷器及附属设备等；低压侧共箱母线等设备设施。</w:t>
      </w:r>
    </w:p>
    <w:p w14:paraId="7215AFB9">
      <w:pPr>
        <w:pStyle w:val="6"/>
        <w:rPr>
          <w:color w:val="auto"/>
          <w:highlight w:val="none"/>
        </w:rPr>
      </w:pPr>
      <w:r>
        <w:rPr>
          <w:rFonts w:hint="eastAsia"/>
          <w:color w:val="auto"/>
          <w:highlight w:val="none"/>
        </w:rPr>
        <w:t>机组直流系统及直流蓄电池组、网络直流系统及直流蓄电池组、UPS系统设备及其附属系统；机组直流电动机及其附属设备，包括动力电缆、控制电缆。</w:t>
      </w:r>
    </w:p>
    <w:p w14:paraId="443E7FAA">
      <w:pPr>
        <w:pStyle w:val="6"/>
        <w:rPr>
          <w:color w:val="auto"/>
          <w:highlight w:val="none"/>
        </w:rPr>
      </w:pPr>
      <w:r>
        <w:rPr>
          <w:rFonts w:hint="eastAsia"/>
          <w:color w:val="auto"/>
          <w:highlight w:val="none"/>
        </w:rPr>
        <w:t>机组</w:t>
      </w:r>
      <w:r>
        <w:rPr>
          <w:rFonts w:hint="eastAsia"/>
          <w:color w:val="auto"/>
          <w:highlight w:val="none"/>
          <w:lang w:val="en-US" w:eastAsia="zh-CN"/>
        </w:rPr>
        <w:t>1</w:t>
      </w:r>
      <w:r>
        <w:rPr>
          <w:rFonts w:hint="eastAsia"/>
          <w:color w:val="auto"/>
          <w:highlight w:val="none"/>
        </w:rPr>
        <w:t>0kV所属的配电室、开关柜与机组段母线连接的变压器及其附属设备。</w:t>
      </w:r>
    </w:p>
    <w:p w14:paraId="016686AA">
      <w:pPr>
        <w:pStyle w:val="6"/>
        <w:rPr>
          <w:color w:val="auto"/>
          <w:highlight w:val="none"/>
        </w:rPr>
      </w:pPr>
      <w:r>
        <w:rPr>
          <w:rFonts w:hint="eastAsia"/>
          <w:color w:val="auto"/>
          <w:highlight w:val="none"/>
        </w:rPr>
        <w:t>机组</w:t>
      </w:r>
      <w:r>
        <w:rPr>
          <w:rFonts w:hint="eastAsia"/>
          <w:color w:val="auto"/>
          <w:highlight w:val="none"/>
          <w:lang w:val="en-US" w:eastAsia="zh-CN"/>
        </w:rPr>
        <w:t>10</w:t>
      </w:r>
      <w:r>
        <w:rPr>
          <w:rFonts w:hint="eastAsia"/>
          <w:color w:val="auto"/>
          <w:highlight w:val="none"/>
        </w:rPr>
        <w:t>kV所有电气设备等，包括控制电缆及电缆所经过的电缆桥架、电缆夹层、电缆支架、电缆沟等。</w:t>
      </w:r>
    </w:p>
    <w:p w14:paraId="3164C1A5">
      <w:pPr>
        <w:pStyle w:val="6"/>
        <w:rPr>
          <w:color w:val="auto"/>
          <w:highlight w:val="none"/>
        </w:rPr>
      </w:pPr>
      <w:r>
        <w:rPr>
          <w:rFonts w:hint="eastAsia"/>
          <w:color w:val="auto"/>
          <w:highlight w:val="none"/>
        </w:rPr>
        <w:t>机组</w:t>
      </w:r>
      <w:r>
        <w:rPr>
          <w:rFonts w:hint="eastAsia"/>
          <w:color w:val="auto"/>
          <w:highlight w:val="none"/>
          <w:lang w:val="en-US" w:eastAsia="zh-CN"/>
        </w:rPr>
        <w:t>10</w:t>
      </w:r>
      <w:r>
        <w:rPr>
          <w:rFonts w:hint="eastAsia"/>
          <w:color w:val="auto"/>
          <w:highlight w:val="none"/>
        </w:rPr>
        <w:t>kV送出的所有动力电缆</w:t>
      </w:r>
      <w:r>
        <w:rPr>
          <w:rFonts w:hint="eastAsia"/>
          <w:color w:val="auto"/>
          <w:highlight w:val="none"/>
          <w:lang w:eastAsia="zh-CN"/>
        </w:rPr>
        <w:t>（</w:t>
      </w:r>
      <w:r>
        <w:rPr>
          <w:rFonts w:hint="eastAsia"/>
          <w:color w:val="auto"/>
          <w:highlight w:val="none"/>
        </w:rPr>
        <w:t>包括</w:t>
      </w:r>
      <w:r>
        <w:rPr>
          <w:rFonts w:hint="eastAsia"/>
          <w:color w:val="auto"/>
          <w:highlight w:val="none"/>
          <w:lang w:val="en-US" w:eastAsia="zh-CN"/>
        </w:rPr>
        <w:t>10</w:t>
      </w:r>
      <w:r>
        <w:rPr>
          <w:rFonts w:hint="eastAsia"/>
          <w:color w:val="auto"/>
          <w:highlight w:val="none"/>
        </w:rPr>
        <w:t>kV段所接变压器</w:t>
      </w:r>
      <w:r>
        <w:rPr>
          <w:rFonts w:hint="eastAsia"/>
          <w:color w:val="auto"/>
          <w:highlight w:val="none"/>
          <w:lang w:val="en-US" w:eastAsia="zh-CN"/>
        </w:rPr>
        <w:t>的</w:t>
      </w:r>
      <w:r>
        <w:rPr>
          <w:rFonts w:hint="eastAsia"/>
          <w:color w:val="auto"/>
          <w:highlight w:val="none"/>
        </w:rPr>
        <w:t>所有动力电缆</w:t>
      </w:r>
      <w:r>
        <w:rPr>
          <w:rFonts w:hint="eastAsia"/>
          <w:color w:val="auto"/>
          <w:highlight w:val="none"/>
          <w:lang w:eastAsia="zh-CN"/>
        </w:rPr>
        <w:t>）</w:t>
      </w:r>
      <w:r>
        <w:rPr>
          <w:rFonts w:hint="eastAsia"/>
          <w:color w:val="auto"/>
          <w:highlight w:val="none"/>
        </w:rPr>
        <w:t>，电缆所经过的电缆桥架、电缆夹层、电缆支架、电缆沟等。与母线相连接的电机设备及其附属设备，包括变频器、配电开关室内其他附属设备。</w:t>
      </w:r>
    </w:p>
    <w:p w14:paraId="089DCA1C">
      <w:pPr>
        <w:pStyle w:val="6"/>
        <w:rPr>
          <w:color w:val="auto"/>
          <w:highlight w:val="none"/>
        </w:rPr>
      </w:pPr>
      <w:r>
        <w:rPr>
          <w:rFonts w:hint="eastAsia"/>
          <w:color w:val="auto"/>
          <w:highlight w:val="none"/>
          <w:lang w:val="en-US" w:eastAsia="zh-CN"/>
        </w:rPr>
        <w:t>0.4k</w:t>
      </w:r>
      <w:r>
        <w:rPr>
          <w:rFonts w:hint="eastAsia"/>
          <w:color w:val="auto"/>
          <w:highlight w:val="none"/>
        </w:rPr>
        <w:t>V厂用电系统：</w:t>
      </w:r>
      <w:r>
        <w:rPr>
          <w:rFonts w:hint="eastAsia"/>
          <w:color w:val="auto"/>
          <w:highlight w:val="none"/>
          <w:lang w:val="en-US" w:eastAsia="zh-CN"/>
        </w:rPr>
        <w:t>化水工作</w:t>
      </w:r>
      <w:r>
        <w:rPr>
          <w:rFonts w:hint="eastAsia"/>
          <w:color w:val="auto"/>
          <w:highlight w:val="none"/>
        </w:rPr>
        <w:t>段、</w:t>
      </w:r>
      <w:r>
        <w:rPr>
          <w:rFonts w:hint="eastAsia"/>
          <w:color w:val="auto"/>
          <w:highlight w:val="none"/>
          <w:lang w:val="en-US" w:eastAsia="zh-CN"/>
        </w:rPr>
        <w:t>厂用I</w:t>
      </w:r>
      <w:r>
        <w:rPr>
          <w:rFonts w:hint="eastAsia"/>
          <w:color w:val="auto"/>
          <w:highlight w:val="none"/>
        </w:rPr>
        <w:t>段、</w:t>
      </w:r>
      <w:r>
        <w:rPr>
          <w:rFonts w:hint="eastAsia"/>
          <w:color w:val="auto"/>
          <w:highlight w:val="none"/>
          <w:lang w:val="en-US" w:eastAsia="zh-CN"/>
        </w:rPr>
        <w:t>备用段</w:t>
      </w:r>
      <w:r>
        <w:rPr>
          <w:rFonts w:hint="eastAsia"/>
          <w:color w:val="auto"/>
          <w:highlight w:val="none"/>
        </w:rPr>
        <w:t>；包括母线、变压器、PT、CT、开关柜等一次设备系统，包括所有电气设备的附属装置、所有设备进出线动力电缆和控制电缆（包括电缆所经过的电缆桥架、电缆沟等），与上述配电母线相连接的电机设备、开关柜（包括与其连接的所有电气设备，如电动机、电缆等）、动力配电箱、就地控制柜、变频器等及上述配电开关室内附属设备等。</w:t>
      </w:r>
    </w:p>
    <w:p w14:paraId="6C1F6FF3">
      <w:pPr>
        <w:pStyle w:val="6"/>
        <w:rPr>
          <w:color w:val="auto"/>
          <w:highlight w:val="none"/>
        </w:rPr>
      </w:pPr>
      <w:r>
        <w:rPr>
          <w:rFonts w:hint="eastAsia"/>
          <w:color w:val="auto"/>
          <w:highlight w:val="none"/>
        </w:rPr>
        <w:t>全厂UPS及直流电源系统包括配电柜、蓄电池、电缆等。</w:t>
      </w:r>
    </w:p>
    <w:p w14:paraId="1876223A">
      <w:pPr>
        <w:pStyle w:val="6"/>
        <w:rPr>
          <w:color w:val="auto"/>
          <w:highlight w:val="none"/>
        </w:rPr>
      </w:pPr>
      <w:r>
        <w:rPr>
          <w:rFonts w:hint="eastAsia"/>
          <w:color w:val="auto"/>
          <w:highlight w:val="none"/>
        </w:rPr>
        <w:t>全厂所有管道、设备及构建筑物接地以及防雷接地。</w:t>
      </w:r>
    </w:p>
    <w:p w14:paraId="0BEDE06A">
      <w:pPr>
        <w:pStyle w:val="6"/>
        <w:rPr>
          <w:color w:val="auto"/>
          <w:highlight w:val="none"/>
        </w:rPr>
      </w:pPr>
      <w:r>
        <w:rPr>
          <w:rFonts w:hint="eastAsia"/>
          <w:color w:val="auto"/>
          <w:highlight w:val="none"/>
        </w:rPr>
        <w:t>因检修工作造成的全厂电气配电柜及电缆防火封堵修复及完善。</w:t>
      </w:r>
    </w:p>
    <w:p w14:paraId="249FDCCB">
      <w:pPr>
        <w:pStyle w:val="6"/>
        <w:rPr>
          <w:color w:val="auto"/>
          <w:highlight w:val="none"/>
        </w:rPr>
      </w:pPr>
      <w:r>
        <w:rPr>
          <w:rFonts w:hint="eastAsia"/>
          <w:color w:val="auto"/>
          <w:highlight w:val="none"/>
        </w:rPr>
        <w:t>天然气</w:t>
      </w:r>
      <w:r>
        <w:rPr>
          <w:rFonts w:hint="eastAsia"/>
          <w:color w:val="auto"/>
          <w:highlight w:val="none"/>
          <w:lang w:val="en-US" w:eastAsia="zh-CN"/>
        </w:rPr>
        <w:t>调压</w:t>
      </w:r>
      <w:r>
        <w:rPr>
          <w:rFonts w:hint="eastAsia"/>
          <w:color w:val="auto"/>
          <w:highlight w:val="none"/>
        </w:rPr>
        <w:t>站内电气设备。</w:t>
      </w:r>
    </w:p>
    <w:p w14:paraId="7A47FAF4">
      <w:pPr>
        <w:pStyle w:val="6"/>
        <w:rPr>
          <w:color w:val="auto"/>
          <w:highlight w:val="none"/>
        </w:rPr>
      </w:pPr>
      <w:r>
        <w:rPr>
          <w:rFonts w:hint="eastAsia"/>
          <w:color w:val="auto"/>
          <w:highlight w:val="none"/>
        </w:rPr>
        <w:t>全厂潜水泵</w:t>
      </w:r>
      <w:r>
        <w:rPr>
          <w:rFonts w:hint="eastAsia"/>
          <w:color w:val="auto"/>
          <w:highlight w:val="none"/>
          <w:lang w:eastAsia="zh-CN"/>
        </w:rPr>
        <w:t>（</w:t>
      </w:r>
      <w:r>
        <w:rPr>
          <w:rFonts w:hint="eastAsia"/>
          <w:color w:val="auto"/>
          <w:highlight w:val="none"/>
          <w:lang w:val="en-US" w:eastAsia="zh-CN"/>
        </w:rPr>
        <w:t>含深水抽水泵</w:t>
      </w:r>
      <w:r>
        <w:rPr>
          <w:rFonts w:hint="eastAsia"/>
          <w:color w:val="auto"/>
          <w:highlight w:val="none"/>
          <w:lang w:eastAsia="zh-CN"/>
        </w:rPr>
        <w:t>）</w:t>
      </w:r>
      <w:r>
        <w:rPr>
          <w:rFonts w:hint="eastAsia"/>
          <w:color w:val="auto"/>
          <w:highlight w:val="none"/>
        </w:rPr>
        <w:t>或排污泵控制柜。</w:t>
      </w:r>
    </w:p>
    <w:p w14:paraId="287BAD24">
      <w:pPr>
        <w:pStyle w:val="6"/>
        <w:rPr>
          <w:color w:val="auto"/>
          <w:highlight w:val="none"/>
        </w:rPr>
      </w:pPr>
      <w:r>
        <w:rPr>
          <w:rFonts w:hint="eastAsia"/>
          <w:color w:val="auto"/>
          <w:highlight w:val="none"/>
        </w:rPr>
        <w:t>全厂构建筑物风机。</w:t>
      </w:r>
    </w:p>
    <w:p w14:paraId="331AB212">
      <w:pPr>
        <w:pStyle w:val="6"/>
        <w:rPr>
          <w:color w:val="auto"/>
          <w:highlight w:val="none"/>
        </w:rPr>
      </w:pPr>
      <w:r>
        <w:rPr>
          <w:rFonts w:hint="eastAsia"/>
          <w:color w:val="auto"/>
          <w:highlight w:val="none"/>
        </w:rPr>
        <w:t>全厂电机巡视维护保养及其联轴器维护、找中心、电机</w:t>
      </w:r>
      <w:r>
        <w:rPr>
          <w:rFonts w:hint="eastAsia"/>
          <w:color w:val="auto"/>
          <w:highlight w:val="none"/>
          <w:lang w:val="en-US" w:eastAsia="zh-CN"/>
        </w:rPr>
        <w:t>加油和</w:t>
      </w:r>
      <w:r>
        <w:rPr>
          <w:rFonts w:hint="eastAsia"/>
          <w:color w:val="auto"/>
          <w:highlight w:val="none"/>
        </w:rPr>
        <w:t>清洁。</w:t>
      </w:r>
    </w:p>
    <w:p w14:paraId="799591C4">
      <w:pPr>
        <w:pStyle w:val="6"/>
        <w:rPr>
          <w:strike w:val="0"/>
          <w:dstrike w:val="0"/>
          <w:highlight w:val="none"/>
        </w:rPr>
      </w:pPr>
      <w:r>
        <w:rPr>
          <w:rFonts w:hint="eastAsia"/>
          <w:color w:val="auto"/>
          <w:highlight w:val="none"/>
        </w:rPr>
        <w:t>雨水、生活污水配套电气设备。</w:t>
      </w:r>
    </w:p>
    <w:p w14:paraId="430B144B">
      <w:pPr>
        <w:pStyle w:val="6"/>
        <w:rPr>
          <w:strike w:val="0"/>
          <w:dstrike w:val="0"/>
          <w:highlight w:val="none"/>
        </w:rPr>
      </w:pPr>
      <w:r>
        <w:rPr>
          <w:rFonts w:hint="eastAsia"/>
          <w:color w:val="auto"/>
          <w:highlight w:val="none"/>
        </w:rPr>
        <w:t>全厂区域照明、检修电源的维护，采取包工不包料（指装置性材料）</w:t>
      </w:r>
      <w:r>
        <w:rPr>
          <w:rFonts w:hint="eastAsia"/>
          <w:strike w:val="0"/>
          <w:dstrike w:val="0"/>
          <w:color w:val="auto"/>
          <w:highlight w:val="none"/>
          <w:lang w:eastAsia="zh-CN"/>
        </w:rPr>
        <w:t>。</w:t>
      </w:r>
    </w:p>
    <w:p w14:paraId="570D27D2">
      <w:pPr>
        <w:pStyle w:val="5"/>
        <w:rPr>
          <w:highlight w:val="none"/>
        </w:rPr>
      </w:pPr>
      <w:r>
        <w:rPr>
          <w:rFonts w:hint="eastAsia"/>
          <w:highlight w:val="none"/>
        </w:rPr>
        <w:t>热控专业工作范围</w:t>
      </w:r>
    </w:p>
    <w:p w14:paraId="0BB31B7B">
      <w:pPr>
        <w:pStyle w:val="65"/>
        <w:ind w:firstLine="480"/>
        <w:rPr>
          <w:highlight w:val="none"/>
        </w:rPr>
      </w:pPr>
      <w:r>
        <w:rPr>
          <w:rFonts w:hint="eastAsia"/>
          <w:highlight w:val="none"/>
        </w:rPr>
        <w:t>全厂范围内的热控仪表、控制及执行设备，包括但不限于如下：</w:t>
      </w:r>
    </w:p>
    <w:p w14:paraId="7241DFD6">
      <w:pPr>
        <w:pStyle w:val="6"/>
        <w:rPr>
          <w:highlight w:val="none"/>
        </w:rPr>
      </w:pPr>
      <w:r>
        <w:rPr>
          <w:rFonts w:hint="eastAsia"/>
          <w:highlight w:val="none"/>
        </w:rPr>
        <w:t>温度仪表、压力仪表、流量仪表、液位仪表（包括所有测点的保护套管、取样管路、二次门、阀组、排污门、排污管路等）；</w:t>
      </w:r>
    </w:p>
    <w:p w14:paraId="60443AE3">
      <w:pPr>
        <w:pStyle w:val="6"/>
        <w:rPr>
          <w:highlight w:val="none"/>
        </w:rPr>
      </w:pPr>
      <w:r>
        <w:rPr>
          <w:rFonts w:hint="eastAsia"/>
          <w:highlight w:val="none"/>
        </w:rPr>
        <w:t>各类电磁阀及行程开关；</w:t>
      </w:r>
    </w:p>
    <w:p w14:paraId="5C2E5F97">
      <w:pPr>
        <w:pStyle w:val="6"/>
        <w:rPr>
          <w:highlight w:val="none"/>
        </w:rPr>
      </w:pPr>
      <w:r>
        <w:rPr>
          <w:rFonts w:hint="eastAsia"/>
          <w:highlight w:val="none"/>
        </w:rPr>
        <w:t>全部电、液、气动执行机构的电子及机械部分（含驱动、传动、制动部分）、执行器所含附件；</w:t>
      </w:r>
    </w:p>
    <w:p w14:paraId="00A7A0C3">
      <w:pPr>
        <w:pStyle w:val="6"/>
        <w:rPr>
          <w:highlight w:val="none"/>
        </w:rPr>
      </w:pPr>
      <w:r>
        <w:rPr>
          <w:rFonts w:hint="eastAsia"/>
          <w:highlight w:val="none"/>
          <w:lang w:val="en-US" w:eastAsia="zh-CN"/>
        </w:rPr>
        <w:t>锅炉</w:t>
      </w:r>
      <w:r>
        <w:rPr>
          <w:rFonts w:hint="eastAsia"/>
          <w:highlight w:val="none"/>
        </w:rPr>
        <w:t>-汽机本体区域所有特殊传感器如：振动、轴位移、转速、胀差、火检、点火器、压力、加速度、燃气泄漏等；</w:t>
      </w:r>
    </w:p>
    <w:p w14:paraId="7381246A">
      <w:pPr>
        <w:pStyle w:val="6"/>
        <w:rPr>
          <w:highlight w:val="none"/>
        </w:rPr>
      </w:pPr>
      <w:r>
        <w:rPr>
          <w:rFonts w:hint="eastAsia"/>
          <w:highlight w:val="none"/>
        </w:rPr>
        <w:t>所有就地控制盘柜/箱、端子箱、接线盒；所有仪表阀门；电缆及电缆桥架；取样管路；取样装置；汽包水位电视监控系统等。</w:t>
      </w:r>
    </w:p>
    <w:p w14:paraId="0A52D4F0">
      <w:pPr>
        <w:pStyle w:val="6"/>
        <w:rPr>
          <w:rFonts w:hint="default" w:eastAsia="宋体"/>
          <w:lang w:val="en-US" w:eastAsia="zh-CN"/>
        </w:rPr>
      </w:pPr>
      <w:r>
        <w:rPr>
          <w:rFonts w:hint="eastAsia"/>
          <w:highlight w:val="none"/>
        </w:rPr>
        <w:t>电厂所有在线化学仪表的运行维护。含热力系统汽水取样间所有设备，</w:t>
      </w:r>
      <w:r>
        <w:rPr>
          <w:rFonts w:hint="eastAsia"/>
          <w:highlight w:val="none"/>
          <w:lang w:val="en-US" w:eastAsia="zh-CN"/>
        </w:rPr>
        <w:t>化</w:t>
      </w:r>
      <w:r>
        <w:rPr>
          <w:rFonts w:hint="eastAsia"/>
          <w:highlight w:val="none"/>
        </w:rPr>
        <w:t>水车间等系统化学仪表。</w:t>
      </w:r>
    </w:p>
    <w:p w14:paraId="4B9CBE86">
      <w:pPr>
        <w:pStyle w:val="5"/>
      </w:pPr>
      <w:r>
        <w:rPr>
          <w:rFonts w:hint="eastAsia"/>
          <w:lang w:val="en-US" w:eastAsia="zh-CN"/>
        </w:rPr>
        <w:t>水处理</w:t>
      </w:r>
      <w:r>
        <w:rPr>
          <w:rFonts w:hint="eastAsia"/>
        </w:rPr>
        <w:t>专业工作范围</w:t>
      </w:r>
    </w:p>
    <w:p w14:paraId="48E109EF">
      <w:pPr>
        <w:pStyle w:val="6"/>
        <w:numPr>
          <w:ilvl w:val="3"/>
          <w:numId w:val="0"/>
        </w:numPr>
        <w:ind w:firstLine="480" w:firstLineChars="200"/>
        <w:rPr>
          <w:rFonts w:hint="eastAsia"/>
          <w:highlight w:val="none"/>
          <w:lang w:val="en-US" w:eastAsia="zh-CN"/>
        </w:rPr>
      </w:pPr>
      <w:r>
        <w:rPr>
          <w:rFonts w:hint="eastAsia"/>
          <w:highlight w:val="none"/>
          <w:lang w:val="en-US" w:eastAsia="zh-CN"/>
        </w:rPr>
        <w:t>水处理专业的日常维护区域：全厂水处理设备包括所有转动机械、管道、阀门、容器等设备和平台栏杆的巡视、检查和日常维护。主要包括但不限于以下内容：</w:t>
      </w:r>
    </w:p>
    <w:p w14:paraId="0A39B6C4">
      <w:pPr>
        <w:pStyle w:val="6"/>
        <w:rPr>
          <w:rFonts w:hint="eastAsia"/>
          <w:highlight w:val="none"/>
          <w:lang w:val="en-US" w:eastAsia="zh-CN"/>
        </w:rPr>
      </w:pPr>
      <w:r>
        <w:rPr>
          <w:rFonts w:hint="eastAsia"/>
          <w:highlight w:val="none"/>
          <w:lang w:val="en-US" w:eastAsia="zh-CN"/>
        </w:rPr>
        <w:t>水箱本体（含栏杆）及管道、阀门等，水箱/水池清理。</w:t>
      </w:r>
    </w:p>
    <w:p w14:paraId="4FA9B648">
      <w:pPr>
        <w:pStyle w:val="6"/>
        <w:rPr>
          <w:rFonts w:hint="eastAsia"/>
          <w:highlight w:val="none"/>
          <w:lang w:val="en-US" w:eastAsia="zh-CN"/>
        </w:rPr>
      </w:pPr>
      <w:r>
        <w:rPr>
          <w:rFonts w:hint="eastAsia"/>
          <w:highlight w:val="none"/>
          <w:lang w:val="en-US" w:eastAsia="zh-CN"/>
        </w:rPr>
        <w:t>预处理罐体、泵及管道、阀门等。</w:t>
      </w:r>
    </w:p>
    <w:p w14:paraId="189E5DA7">
      <w:pPr>
        <w:pStyle w:val="6"/>
        <w:rPr>
          <w:rFonts w:hint="eastAsia"/>
          <w:highlight w:val="none"/>
          <w:lang w:val="en-US" w:eastAsia="zh-CN"/>
        </w:rPr>
      </w:pPr>
      <w:r>
        <w:rPr>
          <w:rFonts w:hint="eastAsia"/>
          <w:highlight w:val="none"/>
          <w:lang w:val="en-US" w:eastAsia="zh-CN"/>
        </w:rPr>
        <w:t>反渗透装置（一级，二级)、泵及管道、阀门等。</w:t>
      </w:r>
    </w:p>
    <w:p w14:paraId="4D439C80">
      <w:pPr>
        <w:pStyle w:val="6"/>
        <w:rPr>
          <w:rFonts w:hint="eastAsia"/>
          <w:highlight w:val="none"/>
          <w:lang w:val="en-US" w:eastAsia="zh-CN"/>
        </w:rPr>
      </w:pPr>
      <w:r>
        <w:rPr>
          <w:rFonts w:hint="eastAsia"/>
          <w:highlight w:val="none"/>
          <w:lang w:val="en-US" w:eastAsia="zh-CN"/>
        </w:rPr>
        <w:t>EDI装置、泵、阀门及管道等。</w:t>
      </w:r>
    </w:p>
    <w:p w14:paraId="333F025C">
      <w:pPr>
        <w:pStyle w:val="6"/>
        <w:rPr>
          <w:rFonts w:hint="eastAsia"/>
          <w:highlight w:val="none"/>
          <w:lang w:val="en-US" w:eastAsia="zh-CN"/>
        </w:rPr>
      </w:pPr>
      <w:r>
        <w:rPr>
          <w:rFonts w:hint="eastAsia"/>
          <w:highlight w:val="none"/>
          <w:lang w:val="en-US" w:eastAsia="zh-CN"/>
        </w:rPr>
        <w:t>原水泵及管道、阀门。</w:t>
      </w:r>
    </w:p>
    <w:p w14:paraId="32CA6933">
      <w:pPr>
        <w:pStyle w:val="6"/>
        <w:rPr>
          <w:rFonts w:hint="eastAsia"/>
          <w:highlight w:val="none"/>
          <w:lang w:val="en-US" w:eastAsia="zh-CN"/>
        </w:rPr>
      </w:pPr>
      <w:r>
        <w:rPr>
          <w:rFonts w:hint="eastAsia"/>
          <w:highlight w:val="none"/>
          <w:lang w:val="en-US" w:eastAsia="zh-CN"/>
        </w:rPr>
        <w:t>取样、加药系统：所有取样、加药系统设备及管道，包括取样、加药间所有设备及管道。</w:t>
      </w:r>
    </w:p>
    <w:p w14:paraId="56558A35">
      <w:pPr>
        <w:pStyle w:val="6"/>
        <w:rPr>
          <w:rFonts w:hint="eastAsia"/>
          <w:highlight w:val="none"/>
          <w:lang w:val="en-US" w:eastAsia="zh-CN"/>
        </w:rPr>
      </w:pPr>
      <w:r>
        <w:rPr>
          <w:rFonts w:hint="eastAsia"/>
          <w:highlight w:val="none"/>
          <w:lang w:val="en-US" w:eastAsia="zh-CN"/>
        </w:rPr>
        <w:t>除盐水系统设备、管道、阀门。</w:t>
      </w:r>
    </w:p>
    <w:p w14:paraId="3E9D75CB">
      <w:pPr>
        <w:pStyle w:val="6"/>
        <w:rPr>
          <w:rFonts w:hint="eastAsia"/>
          <w:highlight w:val="none"/>
          <w:lang w:val="en-US" w:eastAsia="zh-CN"/>
        </w:rPr>
      </w:pPr>
      <w:r>
        <w:rPr>
          <w:rFonts w:hint="eastAsia"/>
          <w:highlight w:val="none"/>
          <w:lang w:val="en-US" w:eastAsia="zh-CN"/>
        </w:rPr>
        <w:t>阀门井积水清理工作。</w:t>
      </w:r>
    </w:p>
    <w:p w14:paraId="7C5BCB42">
      <w:pPr>
        <w:pStyle w:val="6"/>
        <w:rPr>
          <w:rFonts w:hint="eastAsia"/>
          <w:highlight w:val="none"/>
          <w:lang w:val="en-US" w:eastAsia="zh-CN"/>
        </w:rPr>
      </w:pPr>
      <w:r>
        <w:rPr>
          <w:rFonts w:hint="eastAsia"/>
          <w:highlight w:val="none"/>
          <w:lang w:val="en-US" w:eastAsia="zh-CN"/>
        </w:rPr>
        <w:t>全厂药品（包括试验室药品、气瓶、器皿等）的卸车、搬运、投药等工作。</w:t>
      </w:r>
    </w:p>
    <w:p w14:paraId="46331FA2">
      <w:pPr>
        <w:pStyle w:val="6"/>
        <w:rPr>
          <w:rFonts w:hint="eastAsia"/>
          <w:highlight w:val="none"/>
          <w:lang w:val="en-US" w:eastAsia="zh-CN"/>
        </w:rPr>
      </w:pPr>
      <w:r>
        <w:rPr>
          <w:rFonts w:hint="eastAsia"/>
          <w:highlight w:val="none"/>
          <w:lang w:val="en-US" w:eastAsia="zh-CN"/>
        </w:rPr>
        <w:t>其它与水处理专业不可分割的附属设备设施。</w:t>
      </w:r>
    </w:p>
    <w:p w14:paraId="3944DF99">
      <w:pPr>
        <w:pStyle w:val="5"/>
        <w:rPr>
          <w:highlight w:val="none"/>
        </w:rPr>
      </w:pPr>
      <w:r>
        <w:rPr>
          <w:rFonts w:hint="eastAsia"/>
          <w:highlight w:val="none"/>
          <w:lang w:val="en-US" w:eastAsia="zh-CN"/>
        </w:rPr>
        <w:t>全厂工业电视系统</w:t>
      </w:r>
      <w:r>
        <w:rPr>
          <w:rFonts w:hint="eastAsia"/>
          <w:highlight w:val="none"/>
        </w:rPr>
        <w:t>工作范围</w:t>
      </w:r>
    </w:p>
    <w:p w14:paraId="0F012E52">
      <w:pPr>
        <w:pStyle w:val="6"/>
        <w:numPr>
          <w:ilvl w:val="3"/>
          <w:numId w:val="0"/>
        </w:numPr>
        <w:ind w:firstLine="480" w:firstLineChars="200"/>
        <w:rPr>
          <w:highlight w:val="none"/>
        </w:rPr>
      </w:pPr>
      <w:r>
        <w:rPr>
          <w:rFonts w:hint="eastAsia"/>
          <w:highlight w:val="none"/>
          <w:lang w:val="en-US" w:eastAsia="zh-CN"/>
        </w:rPr>
        <w:t>1.</w:t>
      </w:r>
      <w:r>
        <w:rPr>
          <w:rFonts w:hint="eastAsia"/>
          <w:highlight w:val="none"/>
        </w:rPr>
        <w:t>全厂</w:t>
      </w:r>
      <w:r>
        <w:rPr>
          <w:rFonts w:hint="eastAsia"/>
          <w:highlight w:val="none"/>
          <w:lang w:val="en-US" w:eastAsia="zh-CN"/>
        </w:rPr>
        <w:t>工业电视系</w:t>
      </w:r>
      <w:r>
        <w:rPr>
          <w:rFonts w:hint="eastAsia"/>
          <w:highlight w:val="none"/>
        </w:rPr>
        <w:t>统硬件故障</w:t>
      </w:r>
      <w:r>
        <w:rPr>
          <w:rFonts w:hint="eastAsia"/>
          <w:highlight w:val="none"/>
          <w:lang w:val="en-US" w:eastAsia="zh-CN"/>
        </w:rPr>
        <w:t>处理</w:t>
      </w:r>
      <w:r>
        <w:rPr>
          <w:rFonts w:hint="eastAsia"/>
          <w:highlight w:val="none"/>
        </w:rPr>
        <w:t>及设备的移位安装</w:t>
      </w:r>
      <w:r>
        <w:rPr>
          <w:rFonts w:hint="eastAsia"/>
          <w:highlight w:val="none"/>
          <w:lang w:eastAsia="zh-CN"/>
        </w:rPr>
        <w:t>，</w:t>
      </w:r>
      <w:r>
        <w:rPr>
          <w:rFonts w:hint="eastAsia"/>
          <w:highlight w:val="none"/>
        </w:rPr>
        <w:t>包括但不限于系统机柜、交换机、摄像头、</w:t>
      </w:r>
      <w:r>
        <w:rPr>
          <w:rFonts w:hint="eastAsia"/>
          <w:highlight w:val="none"/>
          <w:lang w:val="en-US" w:eastAsia="zh-CN"/>
        </w:rPr>
        <w:t>门卫监控设施、门禁</w:t>
      </w:r>
      <w:r>
        <w:rPr>
          <w:rFonts w:hint="eastAsia"/>
          <w:highlight w:val="none"/>
        </w:rPr>
        <w:t>等。</w:t>
      </w:r>
    </w:p>
    <w:p w14:paraId="0EDC6725">
      <w:pPr>
        <w:pStyle w:val="6"/>
        <w:numPr>
          <w:ilvl w:val="3"/>
          <w:numId w:val="0"/>
        </w:numPr>
        <w:ind w:leftChars="0" w:firstLine="480" w:firstLineChars="200"/>
        <w:rPr>
          <w:rFonts w:hint="eastAsia"/>
          <w:highlight w:val="none"/>
        </w:rPr>
      </w:pPr>
      <w:r>
        <w:rPr>
          <w:rFonts w:hint="eastAsia"/>
          <w:highlight w:val="none"/>
          <w:lang w:val="en-US" w:eastAsia="zh-CN"/>
        </w:rPr>
        <w:t>2.</w:t>
      </w:r>
      <w:r>
        <w:rPr>
          <w:rFonts w:hint="eastAsia"/>
          <w:highlight w:val="none"/>
        </w:rPr>
        <w:t>全厂</w:t>
      </w:r>
      <w:r>
        <w:rPr>
          <w:rFonts w:hint="eastAsia"/>
          <w:highlight w:val="none"/>
          <w:lang w:val="en-US" w:eastAsia="zh-CN"/>
        </w:rPr>
        <w:t>工业电视系</w:t>
      </w:r>
      <w:r>
        <w:rPr>
          <w:rFonts w:hint="eastAsia"/>
          <w:highlight w:val="none"/>
        </w:rPr>
        <w:t>统设备移位安装后的通讯线缆布放。</w:t>
      </w:r>
    </w:p>
    <w:p w14:paraId="589B63E0">
      <w:pPr>
        <w:pStyle w:val="5"/>
        <w:bidi w:val="0"/>
        <w:rPr>
          <w:rFonts w:hint="default"/>
          <w:highlight w:val="none"/>
          <w:lang w:val="en-US" w:eastAsia="zh-CN"/>
        </w:rPr>
      </w:pPr>
      <w:r>
        <w:rPr>
          <w:rFonts w:hint="default"/>
          <w:highlight w:val="none"/>
          <w:lang w:val="en-US" w:eastAsia="zh-CN"/>
        </w:rPr>
        <w:t>厂</w:t>
      </w:r>
      <w:r>
        <w:rPr>
          <w:rFonts w:hint="eastAsia"/>
          <w:highlight w:val="none"/>
          <w:lang w:val="en-US" w:eastAsia="zh-CN"/>
        </w:rPr>
        <w:t>区</w:t>
      </w:r>
      <w:r>
        <w:rPr>
          <w:rFonts w:hint="default"/>
          <w:highlight w:val="none"/>
          <w:lang w:val="en-US" w:eastAsia="zh-CN"/>
        </w:rPr>
        <w:t>外</w:t>
      </w:r>
      <w:r>
        <w:rPr>
          <w:rFonts w:hint="eastAsia"/>
          <w:highlight w:val="none"/>
          <w:lang w:val="en-US" w:eastAsia="zh-CN"/>
        </w:rPr>
        <w:t>系统</w:t>
      </w:r>
      <w:r>
        <w:rPr>
          <w:rFonts w:hint="default"/>
          <w:highlight w:val="none"/>
          <w:lang w:val="en-US" w:eastAsia="zh-CN"/>
        </w:rPr>
        <w:t>工作范围</w:t>
      </w:r>
    </w:p>
    <w:p w14:paraId="58F150E1">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color w:val="auto"/>
          <w:sz w:val="24"/>
          <w:szCs w:val="24"/>
          <w:highlight w:val="none"/>
        </w:rPr>
      </w:pPr>
      <w:r>
        <w:rPr>
          <w:rFonts w:hint="eastAsia"/>
          <w:sz w:val="24"/>
          <w:szCs w:val="24"/>
          <w:highlight w:val="none"/>
          <w:lang w:val="en-US" w:eastAsia="zh-CN"/>
        </w:rPr>
        <w:t>1.电力送出工程：</w:t>
      </w:r>
      <w:r>
        <w:rPr>
          <w:rFonts w:hint="eastAsia"/>
          <w:color w:val="auto"/>
          <w:sz w:val="24"/>
          <w:szCs w:val="24"/>
          <w:highlight w:val="none"/>
        </w:rPr>
        <w:t>厂外</w:t>
      </w:r>
      <w:r>
        <w:rPr>
          <w:rFonts w:hint="eastAsia"/>
          <w:color w:val="auto"/>
          <w:sz w:val="24"/>
          <w:szCs w:val="24"/>
          <w:highlight w:val="none"/>
          <w:lang w:val="en-US" w:eastAsia="zh-CN"/>
        </w:rPr>
        <w:t>属招标人权属范围</w:t>
      </w:r>
      <w:r>
        <w:rPr>
          <w:rFonts w:hint="eastAsia"/>
          <w:color w:val="auto"/>
          <w:sz w:val="24"/>
          <w:szCs w:val="24"/>
          <w:highlight w:val="none"/>
        </w:rPr>
        <w:t>内</w:t>
      </w:r>
      <w:r>
        <w:rPr>
          <w:rFonts w:hint="eastAsia"/>
          <w:color w:val="auto"/>
          <w:sz w:val="24"/>
          <w:szCs w:val="24"/>
          <w:highlight w:val="none"/>
          <w:lang w:val="en-US" w:eastAsia="zh-CN"/>
        </w:rPr>
        <w:t>10</w:t>
      </w:r>
      <w:r>
        <w:rPr>
          <w:rFonts w:hint="eastAsia"/>
          <w:color w:val="auto"/>
          <w:sz w:val="24"/>
          <w:szCs w:val="24"/>
          <w:highlight w:val="none"/>
        </w:rPr>
        <w:t>kV</w:t>
      </w:r>
      <w:r>
        <w:rPr>
          <w:rFonts w:hint="eastAsia"/>
          <w:color w:val="auto"/>
          <w:sz w:val="24"/>
          <w:szCs w:val="24"/>
          <w:highlight w:val="none"/>
          <w:lang w:val="en-US" w:eastAsia="zh-CN"/>
        </w:rPr>
        <w:t>线路（含</w:t>
      </w:r>
      <w:r>
        <w:rPr>
          <w:rFonts w:hint="eastAsia" w:ascii="宋体" w:hAnsi="宋体" w:cs="宋体"/>
          <w:kern w:val="2"/>
          <w:sz w:val="24"/>
          <w:szCs w:val="24"/>
          <w:highlight w:val="none"/>
          <w:lang w:val="en-US" w:eastAsia="zh-CN" w:bidi="ar-SA"/>
        </w:rPr>
        <w:t>双回架空线路和电力电缆线路</w:t>
      </w:r>
      <w:r>
        <w:rPr>
          <w:rFonts w:hint="eastAsia" w:ascii="Times New Roman" w:hAnsi="Times New Roman" w:eastAsia="宋体" w:cs="Times New Roman"/>
          <w:sz w:val="24"/>
          <w:highlight w:val="none"/>
          <w:lang w:val="en-US" w:eastAsia="zh-CN"/>
        </w:rPr>
        <w:t>，</w:t>
      </w:r>
      <w:r>
        <w:rPr>
          <w:rFonts w:hint="eastAsia" w:cs="Times New Roman"/>
          <w:sz w:val="24"/>
          <w:highlight w:val="none"/>
          <w:lang w:val="en-US" w:eastAsia="zh-CN"/>
        </w:rPr>
        <w:t>其中，</w:t>
      </w:r>
      <w:r>
        <w:rPr>
          <w:rFonts w:hint="eastAsia" w:ascii="Times New Roman" w:hAnsi="Times New Roman" w:eastAsia="宋体" w:cs="Times New Roman"/>
          <w:sz w:val="24"/>
          <w:highlight w:val="none"/>
          <w:lang w:val="en-US" w:eastAsia="zh-CN"/>
        </w:rPr>
        <w:t>电缆线路长0.983km，双回架空线路长2</w:t>
      </w:r>
      <w:r>
        <w:rPr>
          <w:rFonts w:hint="default" w:ascii="Times New Roman" w:hAnsi="Times New Roman" w:eastAsia="宋体" w:cs="Times New Roman"/>
          <w:sz w:val="24"/>
          <w:highlight w:val="none"/>
          <w:lang w:val="en-US" w:eastAsia="zh-CN"/>
        </w:rPr>
        <w:t>×</w:t>
      </w:r>
      <w:r>
        <w:rPr>
          <w:rFonts w:hint="eastAsia" w:ascii="Times New Roman" w:hAnsi="Times New Roman" w:eastAsia="宋体" w:cs="Times New Roman"/>
          <w:sz w:val="24"/>
          <w:highlight w:val="none"/>
          <w:lang w:val="en-US" w:eastAsia="zh-CN"/>
        </w:rPr>
        <w:t>1.063km</w:t>
      </w:r>
      <w:r>
        <w:rPr>
          <w:rFonts w:hint="eastAsia"/>
          <w:color w:val="auto"/>
          <w:sz w:val="24"/>
          <w:szCs w:val="24"/>
          <w:highlight w:val="none"/>
          <w:lang w:eastAsia="zh-CN"/>
        </w:rPr>
        <w:t>）</w:t>
      </w:r>
      <w:r>
        <w:rPr>
          <w:rFonts w:hint="eastAsia"/>
          <w:color w:val="auto"/>
          <w:sz w:val="24"/>
          <w:szCs w:val="24"/>
          <w:highlight w:val="none"/>
        </w:rPr>
        <w:t>。</w:t>
      </w:r>
    </w:p>
    <w:p w14:paraId="07767702">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sz w:val="24"/>
          <w:szCs w:val="24"/>
          <w:highlight w:val="none"/>
          <w:lang w:val="en-US" w:eastAsia="zh-CN"/>
        </w:rPr>
      </w:pPr>
      <w:r>
        <w:rPr>
          <w:rFonts w:hint="eastAsia"/>
          <w:sz w:val="24"/>
          <w:szCs w:val="24"/>
          <w:highlight w:val="none"/>
          <w:lang w:val="en-US" w:eastAsia="zh-CN"/>
        </w:rPr>
        <w:t>2.直供天然气管线：云龙配气站至电厂直供约22.604</w:t>
      </w:r>
      <w:r>
        <w:rPr>
          <w:rFonts w:hint="eastAsia" w:ascii="Times New Roman" w:hAnsi="Times New Roman" w:eastAsia="宋体" w:cs="Times New Roman"/>
          <w:sz w:val="24"/>
          <w:highlight w:val="none"/>
          <w:lang w:val="en-US" w:eastAsia="zh-CN"/>
        </w:rPr>
        <w:t>km</w:t>
      </w:r>
      <w:r>
        <w:rPr>
          <w:rFonts w:hint="eastAsia"/>
          <w:sz w:val="24"/>
          <w:szCs w:val="24"/>
          <w:highlight w:val="none"/>
          <w:lang w:val="en-US" w:eastAsia="zh-CN"/>
        </w:rPr>
        <w:t>天然气管线；</w:t>
      </w:r>
    </w:p>
    <w:p w14:paraId="0D1EA613">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sz w:val="24"/>
          <w:szCs w:val="24"/>
          <w:highlight w:val="cyan"/>
          <w:lang w:val="en-US" w:eastAsia="zh-CN"/>
        </w:rPr>
      </w:pPr>
      <w:r>
        <w:rPr>
          <w:rFonts w:hint="eastAsia"/>
          <w:sz w:val="24"/>
          <w:szCs w:val="24"/>
          <w:highlight w:val="none"/>
          <w:lang w:val="en-US" w:eastAsia="zh-CN"/>
        </w:rPr>
        <w:t>3.厂外供热蒸汽管线：厂外属招标人权属范围内的供热蒸汽管线约0.8</w:t>
      </w:r>
      <w:r>
        <w:rPr>
          <w:rFonts w:hint="eastAsia" w:ascii="Times New Roman" w:hAnsi="Times New Roman" w:eastAsia="宋体" w:cs="Times New Roman"/>
          <w:sz w:val="24"/>
          <w:highlight w:val="none"/>
          <w:lang w:val="en-US" w:eastAsia="zh-CN"/>
        </w:rPr>
        <w:t>km</w:t>
      </w:r>
      <w:r>
        <w:rPr>
          <w:rFonts w:hint="eastAsia"/>
          <w:sz w:val="24"/>
          <w:szCs w:val="24"/>
          <w:highlight w:val="none"/>
          <w:lang w:val="en-US" w:eastAsia="zh-CN"/>
        </w:rPr>
        <w:t>。</w:t>
      </w:r>
    </w:p>
    <w:p w14:paraId="56C98EF4">
      <w:pPr>
        <w:pStyle w:val="4"/>
        <w:rPr>
          <w:highlight w:val="none"/>
        </w:rPr>
      </w:pPr>
      <w:bookmarkStart w:id="8" w:name="_Toc11008"/>
      <w:r>
        <w:rPr>
          <w:rFonts w:hint="eastAsia"/>
          <w:highlight w:val="none"/>
        </w:rPr>
        <w:t>工作内容</w:t>
      </w:r>
      <w:bookmarkEnd w:id="8"/>
    </w:p>
    <w:p w14:paraId="507CED1F">
      <w:pPr>
        <w:pStyle w:val="5"/>
      </w:pPr>
      <w:r>
        <w:rPr>
          <w:rFonts w:hint="eastAsia"/>
        </w:rPr>
        <w:t>总的要求</w:t>
      </w:r>
    </w:p>
    <w:p w14:paraId="1D01ED9C">
      <w:pPr>
        <w:pStyle w:val="6"/>
      </w:pPr>
      <w:r>
        <w:rPr>
          <w:rFonts w:hint="eastAsia"/>
        </w:rPr>
        <w:t>投标人现场组织机构、配备人员、机具和工器具应具备设备日常</w:t>
      </w:r>
      <w:r>
        <w:t>维护、</w:t>
      </w:r>
      <w:r>
        <w:rPr>
          <w:rFonts w:hint="eastAsia"/>
        </w:rPr>
        <w:t>状态</w:t>
      </w:r>
      <w:r>
        <w:t>检测、</w:t>
      </w:r>
      <w:r>
        <w:rPr>
          <w:rFonts w:hint="eastAsia"/>
        </w:rPr>
        <w:t>事故抢修能力。</w:t>
      </w:r>
    </w:p>
    <w:p w14:paraId="0B7C6BBF">
      <w:pPr>
        <w:pStyle w:val="6"/>
      </w:pPr>
      <w:r>
        <w:rPr>
          <w:rFonts w:hint="eastAsia"/>
        </w:rPr>
        <w:t>设备</w:t>
      </w:r>
      <w:r>
        <w:t>定期巡视检查，并记录</w:t>
      </w:r>
      <w:r>
        <w:rPr>
          <w:rFonts w:hint="eastAsia"/>
          <w:color w:val="auto"/>
        </w:rPr>
        <w:t>（每</w:t>
      </w:r>
      <w:r>
        <w:rPr>
          <w:rFonts w:hint="eastAsia"/>
          <w:color w:val="auto"/>
          <w:lang w:val="en-US" w:eastAsia="zh-CN"/>
        </w:rPr>
        <w:t>天</w:t>
      </w:r>
      <w:r>
        <w:rPr>
          <w:rFonts w:hint="eastAsia"/>
          <w:color w:val="auto"/>
        </w:rPr>
        <w:t>至少进行一次）</w:t>
      </w:r>
      <w:r>
        <w:t>。</w:t>
      </w:r>
    </w:p>
    <w:p w14:paraId="71B3E4F8">
      <w:pPr>
        <w:pStyle w:val="6"/>
      </w:pPr>
      <w:r>
        <w:rPr>
          <w:rFonts w:hint="eastAsia"/>
        </w:rPr>
        <w:t>定期</w:t>
      </w:r>
      <w:r>
        <w:t>开展设备状态检测，并记录。</w:t>
      </w:r>
    </w:p>
    <w:p w14:paraId="71EAC728">
      <w:pPr>
        <w:pStyle w:val="6"/>
      </w:pPr>
      <w:r>
        <w:rPr>
          <w:rFonts w:hint="eastAsia"/>
        </w:rPr>
        <w:t>当机组出现事故、障碍、异常时，维护人员应</w:t>
      </w:r>
      <w:r>
        <w:rPr>
          <w:rFonts w:hint="eastAsia"/>
          <w:lang w:val="en-US" w:eastAsia="zh-CN"/>
        </w:rPr>
        <w:t>10分钟内</w:t>
      </w:r>
      <w:r>
        <w:rPr>
          <w:rFonts w:hint="eastAsia"/>
        </w:rPr>
        <w:t>赶到现场，</w:t>
      </w:r>
      <w:r>
        <w:rPr>
          <w:rFonts w:hint="eastAsia"/>
          <w:lang w:val="en-US" w:eastAsia="zh-CN"/>
        </w:rPr>
        <w:t>并积极</w:t>
      </w:r>
      <w:r>
        <w:rPr>
          <w:rFonts w:hint="eastAsia"/>
        </w:rPr>
        <w:t>消除设备缺陷。</w:t>
      </w:r>
    </w:p>
    <w:p w14:paraId="62E8DC21">
      <w:pPr>
        <w:pStyle w:val="6"/>
      </w:pPr>
      <w:r>
        <w:rPr>
          <w:rFonts w:hint="eastAsia"/>
        </w:rPr>
        <w:t>投标人应按“小缺陷不过夜，大缺陷连着干”的原则，连续工作，确保机组负荷、启停不受限。</w:t>
      </w:r>
    </w:p>
    <w:p w14:paraId="22D72A6B">
      <w:pPr>
        <w:pStyle w:val="6"/>
      </w:pPr>
      <w:r>
        <w:rPr>
          <w:rFonts w:hint="eastAsia"/>
        </w:rPr>
        <w:t>投标人应做好维护范围内的各设备、管道、盘柜、钢构架等的清洁，以及各螺栓、螺帽的加油加脂保养。</w:t>
      </w:r>
    </w:p>
    <w:p w14:paraId="3A16F233">
      <w:pPr>
        <w:pStyle w:val="6"/>
      </w:pPr>
      <w:r>
        <w:rPr>
          <w:rFonts w:hint="eastAsia"/>
        </w:rPr>
        <w:t>投标人承包范围内的工作，如果投标人无力或不愿承担，招标人可以安排其他单位完成该项工作，产生的费用</w:t>
      </w:r>
      <w:r>
        <w:rPr>
          <w:rFonts w:hint="eastAsia"/>
          <w:lang w:eastAsia="zh-CN"/>
        </w:rPr>
        <w:t>（</w:t>
      </w:r>
      <w:r>
        <w:rPr>
          <w:rFonts w:hint="eastAsia"/>
        </w:rPr>
        <w:t>含考核费用</w:t>
      </w:r>
      <w:r>
        <w:rPr>
          <w:rFonts w:hint="eastAsia"/>
          <w:lang w:eastAsia="zh-CN"/>
        </w:rPr>
        <w:t>）</w:t>
      </w:r>
      <w:r>
        <w:rPr>
          <w:rFonts w:hint="eastAsia"/>
        </w:rPr>
        <w:t>全部由投标人承担。</w:t>
      </w:r>
    </w:p>
    <w:p w14:paraId="5139D646">
      <w:pPr>
        <w:pStyle w:val="6"/>
      </w:pPr>
      <w:r>
        <w:rPr>
          <w:rFonts w:hint="eastAsia"/>
        </w:rPr>
        <w:t>按招标人要求开展或参与季节性检查、专项检查、安全性评价、技术监督、设备评级、创优等各项检查工作，并对发现责任范围内的问题进行整改。</w:t>
      </w:r>
    </w:p>
    <w:p w14:paraId="226B15D6">
      <w:pPr>
        <w:pStyle w:val="6"/>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单项工程费用（按项目）小于或等于</w:t>
      </w:r>
      <w:r>
        <w:rPr>
          <w:rFonts w:hint="eastAsia"/>
          <w:color w:val="000000" w:themeColor="text1"/>
          <w:highlight w:val="none"/>
          <w:lang w:val="en-US" w:eastAsia="zh-CN"/>
          <w14:textFill>
            <w14:solidFill>
              <w14:schemeClr w14:val="tx1"/>
            </w14:solidFill>
          </w14:textFill>
        </w:rPr>
        <w:t>1500</w:t>
      </w:r>
      <w:r>
        <w:rPr>
          <w:rFonts w:hint="eastAsia"/>
          <w:color w:val="000000" w:themeColor="text1"/>
          <w:highlight w:val="none"/>
          <w14:textFill>
            <w14:solidFill>
              <w14:schemeClr w14:val="tx1"/>
            </w14:solidFill>
          </w14:textFill>
        </w:rPr>
        <w:t>元的工程（投标人自身估计合同期内有可能发生的技改项目）属于本招标范围。单项技改工程的费用不作分拆。项目的确定根据实际需要，依据相关的国家、行业标准并参考电力行业的通行做法。</w:t>
      </w:r>
    </w:p>
    <w:p w14:paraId="24781076">
      <w:pPr>
        <w:pStyle w:val="6"/>
        <w:rPr>
          <w:highlight w:val="none"/>
        </w:rPr>
      </w:pPr>
      <w:r>
        <w:rPr>
          <w:rFonts w:hint="eastAsia"/>
          <w:color w:val="auto"/>
          <w:highlight w:val="none"/>
        </w:rPr>
        <w:t>因设备维护需要加工零部件</w:t>
      </w:r>
      <w:bookmarkStart w:id="9" w:name="_Hlk134729965"/>
      <w:r>
        <w:rPr>
          <w:rFonts w:hint="eastAsia"/>
          <w:color w:val="auto"/>
          <w:highlight w:val="none"/>
          <w:lang w:val="en-US" w:eastAsia="zh-CN"/>
        </w:rPr>
        <w:t>的</w:t>
      </w:r>
      <w:r>
        <w:rPr>
          <w:rFonts w:hint="eastAsia"/>
          <w:color w:val="auto"/>
          <w:highlight w:val="none"/>
        </w:rPr>
        <w:t>，</w:t>
      </w:r>
      <w:r>
        <w:rPr>
          <w:rFonts w:hint="eastAsia"/>
          <w:highlight w:val="none"/>
        </w:rPr>
        <w:t>由投标人</w:t>
      </w:r>
      <w:r>
        <w:rPr>
          <w:rFonts w:hint="eastAsia"/>
          <w:highlight w:val="none"/>
          <w:lang w:val="en-US" w:eastAsia="zh-CN"/>
        </w:rPr>
        <w:t>报招标人同意后</w:t>
      </w:r>
      <w:r>
        <w:rPr>
          <w:rFonts w:hint="eastAsia"/>
          <w:highlight w:val="none"/>
        </w:rPr>
        <w:t>加工，加工费用</w:t>
      </w:r>
      <w:bookmarkEnd w:id="9"/>
      <w:r>
        <w:rPr>
          <w:rFonts w:hint="eastAsia"/>
          <w:highlight w:val="none"/>
          <w:lang w:val="en-US" w:eastAsia="zh-CN"/>
        </w:rPr>
        <w:t>由招标人负责</w:t>
      </w:r>
      <w:r>
        <w:rPr>
          <w:rFonts w:hint="eastAsia"/>
          <w:highlight w:val="none"/>
        </w:rPr>
        <w:t>。</w:t>
      </w:r>
    </w:p>
    <w:p w14:paraId="37EEBBB0">
      <w:pPr>
        <w:pStyle w:val="6"/>
      </w:pPr>
      <w:r>
        <w:rPr>
          <w:rFonts w:hint="eastAsia"/>
        </w:rPr>
        <w:t>性能试验、环保监测等外单位特殊试验、检测相应的配合工作。</w:t>
      </w:r>
    </w:p>
    <w:p w14:paraId="582516F0">
      <w:pPr>
        <w:pStyle w:val="6"/>
      </w:pPr>
      <w:r>
        <w:rPr>
          <w:rFonts w:hint="eastAsia"/>
        </w:rPr>
        <w:t>设备大修期间参与设备状态和系统状况检查、质量监督和验收及设备投运后的热态验收（验收合格后投标人开始履行维护职责）。</w:t>
      </w:r>
    </w:p>
    <w:p w14:paraId="0C39CEFB">
      <w:pPr>
        <w:pStyle w:val="6"/>
      </w:pPr>
      <w:r>
        <w:rPr>
          <w:rFonts w:hint="eastAsia"/>
        </w:rPr>
        <w:t>按照《电力设备预防性试验规程》DL/T596规定相关试验项目及要求，进行除大修以外的检修、设备消缺及异动所需的相关试验。</w:t>
      </w:r>
    </w:p>
    <w:p w14:paraId="26F4455E">
      <w:pPr>
        <w:pStyle w:val="6"/>
      </w:pPr>
      <w:r>
        <w:rPr>
          <w:rFonts w:hint="eastAsia"/>
        </w:rPr>
        <w:t>负责所辖范围内的安全、消防（特殊消防除外）及环境保护管理工作。</w:t>
      </w:r>
    </w:p>
    <w:p w14:paraId="1026FD21">
      <w:pPr>
        <w:pStyle w:val="6"/>
      </w:pPr>
      <w:r>
        <w:rPr>
          <w:rFonts w:hint="eastAsia"/>
        </w:rPr>
        <w:t>负责因检修工作需要搭设的脚手架搭设。</w:t>
      </w:r>
    </w:p>
    <w:p w14:paraId="79BB7CC5">
      <w:pPr>
        <w:pStyle w:val="6"/>
      </w:pPr>
      <w:r>
        <w:rPr>
          <w:rFonts w:hint="eastAsia"/>
        </w:rPr>
        <w:t>设备需外送修理、检定时，负责相应的设备拆装及其他配合工作。</w:t>
      </w:r>
    </w:p>
    <w:p w14:paraId="7ECE305B">
      <w:pPr>
        <w:pStyle w:val="6"/>
      </w:pPr>
      <w:r>
        <w:rPr>
          <w:rFonts w:hint="eastAsia"/>
        </w:rPr>
        <w:t>招标方工器具的日常维护工作，定检配合工作。</w:t>
      </w:r>
    </w:p>
    <w:p w14:paraId="05CC15A6">
      <w:pPr>
        <w:pStyle w:val="6"/>
      </w:pPr>
      <w:r>
        <w:rPr>
          <w:rFonts w:hint="eastAsia"/>
        </w:rPr>
        <w:t>招标人设备材料的搬运、装卸（大修大宗货物除外）。</w:t>
      </w:r>
    </w:p>
    <w:p w14:paraId="6114DE91">
      <w:pPr>
        <w:pStyle w:val="6"/>
      </w:pPr>
      <w:r>
        <w:rPr>
          <w:rFonts w:hint="eastAsia"/>
        </w:rPr>
        <w:t>配合运行工作，在确保安全情况下，协助运行人员进行设备系统运行故障时的处理。</w:t>
      </w:r>
    </w:p>
    <w:p w14:paraId="6851750E">
      <w:pPr>
        <w:pStyle w:val="6"/>
      </w:pPr>
      <w:r>
        <w:rPr>
          <w:rFonts w:hint="eastAsia"/>
        </w:rPr>
        <w:t>机组运行期间，</w:t>
      </w:r>
      <w:r>
        <w:rPr>
          <w:rFonts w:hint="eastAsia"/>
          <w:lang w:val="en-US" w:eastAsia="zh-CN"/>
        </w:rPr>
        <w:t>白天现场工作人员</w:t>
      </w:r>
      <w:r>
        <w:rPr>
          <w:rFonts w:hint="eastAsia"/>
        </w:rPr>
        <w:t>不</w:t>
      </w:r>
      <w:r>
        <w:rPr>
          <w:rFonts w:hint="eastAsia"/>
          <w:lang w:val="en-US" w:eastAsia="zh-CN"/>
        </w:rPr>
        <w:t>得</w:t>
      </w:r>
      <w:r>
        <w:rPr>
          <w:rFonts w:hint="eastAsia"/>
        </w:rPr>
        <w:t>少于</w:t>
      </w:r>
      <w:r>
        <w:rPr>
          <w:rFonts w:hint="eastAsia"/>
          <w:lang w:val="en-US" w:eastAsia="zh-CN"/>
        </w:rPr>
        <w:t>3</w:t>
      </w:r>
      <w:r>
        <w:rPr>
          <w:rFonts w:hint="eastAsia"/>
        </w:rPr>
        <w:t>人</w:t>
      </w:r>
      <w:r>
        <w:rPr>
          <w:rFonts w:hint="eastAsia"/>
          <w:highlight w:val="none"/>
          <w:lang w:eastAsia="zh-CN"/>
        </w:rPr>
        <w:t>（</w:t>
      </w:r>
      <w:r>
        <w:rPr>
          <w:rFonts w:hint="eastAsia"/>
          <w:highlight w:val="none"/>
          <w:lang w:val="en-US" w:eastAsia="zh-CN"/>
        </w:rPr>
        <w:t>具体由投标人根据指派人员业务能力、技术水平等综合考虑</w:t>
      </w:r>
      <w:r>
        <w:rPr>
          <w:rFonts w:hint="eastAsia"/>
          <w:highlight w:val="none"/>
          <w:lang w:eastAsia="zh-CN"/>
        </w:rPr>
        <w:t>）</w:t>
      </w:r>
      <w:r>
        <w:rPr>
          <w:rFonts w:hint="eastAsia"/>
        </w:rPr>
        <w:t>，并且有组织处理设备缺陷的能力</w:t>
      </w:r>
      <w:r>
        <w:rPr>
          <w:rFonts w:hint="eastAsia"/>
          <w:lang w:val="en-US" w:eastAsia="zh-CN"/>
        </w:rPr>
        <w:t>。</w:t>
      </w:r>
    </w:p>
    <w:p w14:paraId="22A2ADBE">
      <w:pPr>
        <w:pStyle w:val="6"/>
      </w:pPr>
      <w:r>
        <w:rPr>
          <w:rFonts w:hint="eastAsia"/>
        </w:rPr>
        <w:t>夜间、周末及节假日</w:t>
      </w:r>
      <w:r>
        <w:rPr>
          <w:rFonts w:hint="eastAsia"/>
          <w:lang w:val="en-US" w:eastAsia="zh-CN"/>
        </w:rPr>
        <w:t>期间的现场值班不得少于2人</w:t>
      </w:r>
      <w:r>
        <w:rPr>
          <w:rFonts w:hint="eastAsia"/>
          <w:highlight w:val="none"/>
          <w:lang w:eastAsia="zh-CN"/>
        </w:rPr>
        <w:t>（</w:t>
      </w:r>
      <w:r>
        <w:rPr>
          <w:rFonts w:hint="eastAsia"/>
          <w:highlight w:val="none"/>
          <w:lang w:val="en-US" w:eastAsia="zh-CN"/>
        </w:rPr>
        <w:t>具体由投标人根据指派人员业务能力、技术水平等综合考虑</w:t>
      </w:r>
      <w:r>
        <w:rPr>
          <w:rFonts w:hint="eastAsia"/>
          <w:highlight w:val="none"/>
          <w:lang w:eastAsia="zh-CN"/>
        </w:rPr>
        <w:t>）</w:t>
      </w:r>
      <w:r>
        <w:rPr>
          <w:rFonts w:hint="eastAsia"/>
          <w:lang w:eastAsia="zh-CN"/>
        </w:rPr>
        <w:t>，</w:t>
      </w:r>
      <w:r>
        <w:rPr>
          <w:rFonts w:hint="eastAsia"/>
          <w:lang w:val="en-US" w:eastAsia="zh-CN"/>
        </w:rPr>
        <w:t>其中机务专业至少1人，电热专业至少1人；值班人员应具有</w:t>
      </w:r>
      <w:r>
        <w:rPr>
          <w:rFonts w:hint="eastAsia"/>
        </w:rPr>
        <w:t>及时处理现场缺陷</w:t>
      </w:r>
      <w:r>
        <w:rPr>
          <w:rFonts w:hint="eastAsia"/>
          <w:lang w:val="en-US" w:eastAsia="zh-CN"/>
        </w:rPr>
        <w:t>的能力</w:t>
      </w:r>
      <w:r>
        <w:rPr>
          <w:rFonts w:hint="eastAsia"/>
        </w:rPr>
        <w:t>，如发生因投标人延误原因而造成的后果，投标人承担</w:t>
      </w:r>
      <w:r>
        <w:rPr>
          <w:rFonts w:ascii="宋体" w:hAnsi="宋体"/>
          <w:szCs w:val="21"/>
        </w:rPr>
        <w:t>一切</w:t>
      </w:r>
      <w:r>
        <w:rPr>
          <w:rFonts w:hint="eastAsia" w:ascii="宋体" w:hAnsi="宋体"/>
          <w:szCs w:val="21"/>
        </w:rPr>
        <w:t>直接损失</w:t>
      </w:r>
      <w:r>
        <w:rPr>
          <w:rFonts w:hint="eastAsia"/>
        </w:rPr>
        <w:t>。</w:t>
      </w:r>
    </w:p>
    <w:p w14:paraId="709FAB86">
      <w:pPr>
        <w:pStyle w:val="6"/>
      </w:pPr>
      <w:r>
        <w:rPr>
          <w:rFonts w:hint="eastAsia"/>
        </w:rPr>
        <w:t>协助招标人处理厂内应急事</w:t>
      </w:r>
      <w:r>
        <w:rPr>
          <w:rFonts w:hint="eastAsia"/>
          <w:lang w:val="en-US" w:eastAsia="zh-CN"/>
        </w:rPr>
        <w:t>故</w:t>
      </w:r>
      <w:r>
        <w:rPr>
          <w:rFonts w:hint="eastAsia"/>
        </w:rPr>
        <w:t>处理。</w:t>
      </w:r>
    </w:p>
    <w:p w14:paraId="11928DA0">
      <w:pPr>
        <w:pStyle w:val="5"/>
      </w:pPr>
      <w:r>
        <w:rPr>
          <w:rFonts w:hint="eastAsia"/>
        </w:rPr>
        <w:t>机务专业工作内容</w:t>
      </w:r>
    </w:p>
    <w:p w14:paraId="6966C125">
      <w:pPr>
        <w:pStyle w:val="6"/>
      </w:pPr>
      <w:r>
        <w:rPr>
          <w:rFonts w:hint="eastAsia"/>
        </w:rPr>
        <w:t>投标人负责上述承包范围内设备的维护、抢修、消缺、值班工作；日常维护工作相关的设备保温拆装、防腐油漆、脚手架搭设等工作由维护单位完成，零星保温材料和防腐油漆、架管等由维护单位提供且费用包含在合同款以内。</w:t>
      </w:r>
    </w:p>
    <w:p w14:paraId="197F059B">
      <w:pPr>
        <w:pStyle w:val="6"/>
      </w:pPr>
      <w:r>
        <w:rPr>
          <w:rFonts w:hint="eastAsia"/>
        </w:rPr>
        <w:t>设备日常维护保养（含加油、加脂、滤油、滤网清洗、更换树脂、滤料等工作）、设备清洁、日常巡视检查、日常设备消缺、逢停必检、状态检测、含各种事故抢修及临修、停机消缺、定期工作。</w:t>
      </w:r>
    </w:p>
    <w:p w14:paraId="01C7072D">
      <w:pPr>
        <w:pStyle w:val="6"/>
      </w:pPr>
      <w:r>
        <w:rPr>
          <w:rFonts w:hint="eastAsia"/>
        </w:rPr>
        <w:t>设备定期充气、装卸油、滤油、滤料更换、装卸各种压力气瓶、清洗等。</w:t>
      </w:r>
    </w:p>
    <w:p w14:paraId="4E0BD92C">
      <w:pPr>
        <w:pStyle w:val="6"/>
      </w:pPr>
      <w:r>
        <w:rPr>
          <w:rFonts w:hint="eastAsia"/>
        </w:rPr>
        <w:t>各</w:t>
      </w:r>
      <w:r>
        <w:rPr>
          <w:rFonts w:hint="eastAsia"/>
          <w:lang w:val="en-US" w:eastAsia="zh-CN"/>
        </w:rPr>
        <w:t>类</w:t>
      </w:r>
      <w:r>
        <w:rPr>
          <w:rFonts w:hint="eastAsia"/>
        </w:rPr>
        <w:t>泵的临修工作。</w:t>
      </w:r>
    </w:p>
    <w:p w14:paraId="0112BAFE">
      <w:pPr>
        <w:pStyle w:val="6"/>
      </w:pPr>
      <w:r>
        <w:rPr>
          <w:rFonts w:hint="eastAsia"/>
        </w:rPr>
        <w:t>焊接、热处理、起重、机加工配合等综合工种工作。</w:t>
      </w:r>
    </w:p>
    <w:p w14:paraId="72C92E3A">
      <w:pPr>
        <w:pStyle w:val="6"/>
      </w:pPr>
      <w:r>
        <w:rPr>
          <w:rFonts w:hint="eastAsia"/>
        </w:rPr>
        <w:t>设备需定期进行的春检、秋检、定检、公用系统设备滚动检修、技术监督、安评各项检查、常规试验等。</w:t>
      </w:r>
    </w:p>
    <w:p w14:paraId="5D3745B8">
      <w:pPr>
        <w:pStyle w:val="6"/>
      </w:pPr>
      <w:r>
        <w:rPr>
          <w:rFonts w:hint="eastAsia"/>
        </w:rPr>
        <w:t>日常维护中需进行的金属检验工作（如测厚、焊接质检等），除招标人特别委托的试验项目外。</w:t>
      </w:r>
    </w:p>
    <w:p w14:paraId="2BF4A0B5">
      <w:pPr>
        <w:pStyle w:val="6"/>
      </w:pPr>
      <w:r>
        <w:rPr>
          <w:rFonts w:hint="eastAsia"/>
        </w:rPr>
        <w:t>设备出现的跑、冒、滴、漏、堵、断等缺陷均属于本招标范围。</w:t>
      </w:r>
    </w:p>
    <w:p w14:paraId="163F3012">
      <w:pPr>
        <w:pStyle w:val="6"/>
      </w:pPr>
      <w:r>
        <w:rPr>
          <w:rFonts w:hint="eastAsia"/>
        </w:rPr>
        <w:t>所辖区域内各空气过滤器、燃气过滤器、油过滤器、水过滤器等清理、更换的工作。</w:t>
      </w:r>
    </w:p>
    <w:p w14:paraId="04D0BE58">
      <w:pPr>
        <w:pStyle w:val="6"/>
      </w:pPr>
      <w:r>
        <w:rPr>
          <w:rFonts w:hint="eastAsia"/>
        </w:rPr>
        <w:t>协助招标人处理应急事件，如组织人员并提供工器具（如潜水泵、配电盘）抗洪等。</w:t>
      </w:r>
    </w:p>
    <w:p w14:paraId="1DD4D594">
      <w:pPr>
        <w:pStyle w:val="6"/>
      </w:pPr>
      <w:r>
        <w:rPr>
          <w:rFonts w:hint="eastAsia"/>
        </w:rPr>
        <w:t>其他规定的各种硬性指标（如：油的清洁度、真空度、漏氢、振动等）所作的查找及处理。</w:t>
      </w:r>
    </w:p>
    <w:p w14:paraId="6E3F2A7A">
      <w:pPr>
        <w:pStyle w:val="6"/>
      </w:pPr>
      <w:r>
        <w:rPr>
          <w:rFonts w:hint="eastAsia"/>
        </w:rPr>
        <w:t>安全阀校验、技术监督需投标人配合的脚手架、保温拆装，以及送检送修设备拆装等工作</w:t>
      </w:r>
      <w:r>
        <w:t>。</w:t>
      </w:r>
    </w:p>
    <w:p w14:paraId="32448D77">
      <w:pPr>
        <w:pStyle w:val="6"/>
      </w:pPr>
      <w:r>
        <w:rPr>
          <w:rFonts w:hint="eastAsia"/>
        </w:rPr>
        <w:t>根据运行工况，负责对所辖区域内的润滑油、透平油、抗燃油、液压油进行补油、换油</w:t>
      </w:r>
      <w:r>
        <w:rPr>
          <w:rFonts w:hint="eastAsia"/>
          <w:lang w:val="en-US" w:eastAsia="zh-CN"/>
        </w:rPr>
        <w:t>等</w:t>
      </w:r>
      <w:r>
        <w:rPr>
          <w:rFonts w:hint="eastAsia"/>
        </w:rPr>
        <w:t>。</w:t>
      </w:r>
    </w:p>
    <w:p w14:paraId="54377CAA">
      <w:pPr>
        <w:pStyle w:val="6"/>
      </w:pPr>
      <w:r>
        <w:rPr>
          <w:rFonts w:hint="eastAsia"/>
        </w:rPr>
        <w:t>配合招标人按“标准化管理”要求建立并维护设备、维护、检修等各项台账。</w:t>
      </w:r>
    </w:p>
    <w:p w14:paraId="5F8DF1E7">
      <w:pPr>
        <w:pStyle w:val="6"/>
      </w:pPr>
      <w:r>
        <w:rPr>
          <w:rFonts w:hint="eastAsia"/>
        </w:rPr>
        <w:t>组织及时消除机务设备缺陷。组织定期召开缺陷分析会，并向招标人提交分析报告。</w:t>
      </w:r>
    </w:p>
    <w:p w14:paraId="408CC626">
      <w:pPr>
        <w:pStyle w:val="6"/>
        <w:rPr>
          <w:rFonts w:hint="eastAsia"/>
        </w:rPr>
      </w:pPr>
      <w:r>
        <w:rPr>
          <w:rFonts w:hint="eastAsia"/>
        </w:rPr>
        <w:t>协助招标人做好班组备品备件和工器具的管理。</w:t>
      </w:r>
    </w:p>
    <w:p w14:paraId="40AC4A93">
      <w:pPr>
        <w:pStyle w:val="6"/>
        <w:rPr>
          <w:highlight w:val="none"/>
        </w:rPr>
      </w:pPr>
      <w:r>
        <w:rPr>
          <w:rFonts w:hint="eastAsia"/>
          <w:highlight w:val="none"/>
        </w:rPr>
        <w:t>机力塔清污，每年1次</w:t>
      </w:r>
      <w:r>
        <w:rPr>
          <w:highlight w:val="none"/>
        </w:rPr>
        <w:t>/</w:t>
      </w:r>
      <w:r>
        <w:rPr>
          <w:rFonts w:hint="eastAsia"/>
          <w:highlight w:val="none"/>
        </w:rPr>
        <w:t>台。</w:t>
      </w:r>
    </w:p>
    <w:p w14:paraId="6C774FE4">
      <w:pPr>
        <w:pStyle w:val="5"/>
        <w:rPr>
          <w:highlight w:val="none"/>
        </w:rPr>
      </w:pPr>
      <w:r>
        <w:rPr>
          <w:rFonts w:hint="eastAsia"/>
          <w:highlight w:val="none"/>
        </w:rPr>
        <w:t>电气专业工作内容</w:t>
      </w:r>
    </w:p>
    <w:p w14:paraId="18361C6D">
      <w:pPr>
        <w:pStyle w:val="6"/>
        <w:rPr>
          <w:highlight w:val="none"/>
        </w:rPr>
      </w:pPr>
      <w:r>
        <w:rPr>
          <w:rFonts w:hint="eastAsia"/>
          <w:highlight w:val="none"/>
        </w:rPr>
        <w:t>投标人负责上述承包范围内设备的维护、抢修、消缺</w:t>
      </w:r>
      <w:r>
        <w:rPr>
          <w:rFonts w:hint="eastAsia"/>
          <w:highlight w:val="none"/>
          <w:lang w:val="en-US" w:eastAsia="zh-CN"/>
        </w:rPr>
        <w:t>等</w:t>
      </w:r>
      <w:r>
        <w:rPr>
          <w:rFonts w:hint="eastAsia"/>
          <w:highlight w:val="none"/>
        </w:rPr>
        <w:t>；</w:t>
      </w:r>
      <w:r>
        <w:rPr>
          <w:rFonts w:hint="eastAsia"/>
          <w:strike w:val="0"/>
          <w:dstrike w:val="0"/>
          <w:highlight w:val="none"/>
        </w:rPr>
        <w:t>不属投标人维修范围内，但与日常维护密切相关的生产系统及设备的维修配合工作也由投标人负责（起重、焊接、设备文明卫生等工作）；</w:t>
      </w:r>
      <w:r>
        <w:rPr>
          <w:rFonts w:hint="eastAsia"/>
          <w:highlight w:val="none"/>
        </w:rPr>
        <w:t>招标人要求投标人提供的其它配合工作，以及所辖范围内的设备保洁</w:t>
      </w:r>
      <w:r>
        <w:rPr>
          <w:rFonts w:hint="eastAsia"/>
          <w:highlight w:val="none"/>
          <w:lang w:eastAsia="zh-CN"/>
        </w:rPr>
        <w:t>。</w:t>
      </w:r>
    </w:p>
    <w:p w14:paraId="1A6AD9D4">
      <w:pPr>
        <w:pStyle w:val="6"/>
        <w:rPr>
          <w:highlight w:val="none"/>
        </w:rPr>
      </w:pPr>
      <w:r>
        <w:rPr>
          <w:rFonts w:hint="eastAsia"/>
          <w:highlight w:val="none"/>
        </w:rPr>
        <w:t>电气二次、热工需增设和更换的电缆、蛇皮管、执行器更换等拆装、端子箱内的清扫由投标人负责。</w:t>
      </w:r>
    </w:p>
    <w:p w14:paraId="35EC9B7F">
      <w:pPr>
        <w:pStyle w:val="6"/>
        <w:rPr>
          <w:highlight w:val="none"/>
        </w:rPr>
      </w:pPr>
      <w:r>
        <w:rPr>
          <w:rFonts w:hint="eastAsia"/>
          <w:highlight w:val="none"/>
        </w:rPr>
        <w:t>全厂电缆桥架、电缆沟、电缆夹层、维护、清扫卫生、包括电缆夹层地面卫生清扫、电缆沟排水清污由投标人负责。</w:t>
      </w:r>
    </w:p>
    <w:p w14:paraId="33C7C8DE">
      <w:pPr>
        <w:pStyle w:val="6"/>
        <w:rPr>
          <w:highlight w:val="none"/>
        </w:rPr>
      </w:pPr>
      <w:r>
        <w:rPr>
          <w:rFonts w:hint="eastAsia"/>
          <w:highlight w:val="none"/>
        </w:rPr>
        <w:t>全厂所有电机的检修及维护保养由投标人负责。</w:t>
      </w:r>
    </w:p>
    <w:p w14:paraId="1DBE42D9">
      <w:pPr>
        <w:pStyle w:val="6"/>
        <w:rPr>
          <w:highlight w:val="none"/>
        </w:rPr>
      </w:pPr>
      <w:r>
        <w:rPr>
          <w:rFonts w:hint="eastAsia"/>
          <w:highlight w:val="none"/>
        </w:rPr>
        <w:t>电机接线盒拆接线及控制箱至电机的动力电缆维护由投标人负责。</w:t>
      </w:r>
    </w:p>
    <w:p w14:paraId="34819A21">
      <w:pPr>
        <w:pStyle w:val="6"/>
        <w:rPr>
          <w:highlight w:val="none"/>
        </w:rPr>
      </w:pPr>
      <w:r>
        <w:rPr>
          <w:rFonts w:hint="eastAsia"/>
          <w:highlight w:val="none"/>
        </w:rPr>
        <w:t>全厂范围内动力和控制电缆、电缆附件及其回路维护由投标人负责。</w:t>
      </w:r>
    </w:p>
    <w:p w14:paraId="63FDA9E0">
      <w:pPr>
        <w:pStyle w:val="6"/>
        <w:rPr>
          <w:highlight w:val="none"/>
        </w:rPr>
      </w:pPr>
      <w:r>
        <w:rPr>
          <w:rFonts w:hint="eastAsia"/>
          <w:highlight w:val="none"/>
        </w:rPr>
        <w:t>投标人自备的电气设备常规仪器仪表必须保留在现场，保证随时可用。</w:t>
      </w:r>
    </w:p>
    <w:p w14:paraId="283FA9C2">
      <w:pPr>
        <w:pStyle w:val="6"/>
        <w:rPr>
          <w:highlight w:val="none"/>
        </w:rPr>
      </w:pPr>
      <w:r>
        <w:rPr>
          <w:rFonts w:hint="eastAsia"/>
          <w:highlight w:val="none"/>
        </w:rPr>
        <w:t>电气控制箱</w:t>
      </w:r>
      <w:r>
        <w:rPr>
          <w:rFonts w:hint="eastAsia"/>
          <w:highlight w:val="none"/>
          <w:lang w:val="en-US" w:eastAsia="zh-CN"/>
        </w:rPr>
        <w:t>所含</w:t>
      </w:r>
      <w:r>
        <w:rPr>
          <w:rFonts w:hint="eastAsia"/>
          <w:highlight w:val="none"/>
        </w:rPr>
        <w:t>电缆</w:t>
      </w:r>
      <w:r>
        <w:rPr>
          <w:rFonts w:hint="eastAsia"/>
          <w:highlight w:val="none"/>
          <w:lang w:eastAsia="zh-CN"/>
        </w:rPr>
        <w:t>、</w:t>
      </w:r>
      <w:r>
        <w:rPr>
          <w:rFonts w:hint="eastAsia"/>
          <w:highlight w:val="none"/>
        </w:rPr>
        <w:t>回路</w:t>
      </w:r>
      <w:r>
        <w:rPr>
          <w:rFonts w:hint="eastAsia"/>
          <w:highlight w:val="none"/>
          <w:lang w:val="en-US" w:eastAsia="zh-CN"/>
        </w:rPr>
        <w:t>的检修</w:t>
      </w:r>
      <w:r>
        <w:rPr>
          <w:rFonts w:hint="eastAsia"/>
          <w:highlight w:val="none"/>
        </w:rPr>
        <w:t>维护由投标人负责。</w:t>
      </w:r>
    </w:p>
    <w:p w14:paraId="0BEF2275">
      <w:pPr>
        <w:pStyle w:val="6"/>
        <w:rPr>
          <w:highlight w:val="none"/>
        </w:rPr>
      </w:pPr>
      <w:r>
        <w:rPr>
          <w:rFonts w:hint="eastAsia"/>
          <w:highlight w:val="none"/>
        </w:rPr>
        <w:t>全厂UPS及直流电源系统包括配电柜、蓄电池、电缆等维护由投标人负责。</w:t>
      </w:r>
    </w:p>
    <w:p w14:paraId="2D6D11E1">
      <w:pPr>
        <w:pStyle w:val="6"/>
        <w:rPr>
          <w:highlight w:val="none"/>
        </w:rPr>
      </w:pPr>
      <w:r>
        <w:rPr>
          <w:rFonts w:hint="eastAsia"/>
          <w:highlight w:val="none"/>
        </w:rPr>
        <w:t>交直流操作的低压开关控制、测量设备及回路维护由投标人负责。</w:t>
      </w:r>
    </w:p>
    <w:p w14:paraId="171FE10D">
      <w:pPr>
        <w:pStyle w:val="6"/>
        <w:rPr>
          <w:highlight w:val="none"/>
        </w:rPr>
      </w:pPr>
      <w:r>
        <w:rPr>
          <w:rFonts w:hint="eastAsia"/>
          <w:highlight w:val="none"/>
        </w:rPr>
        <w:t>励磁系统一次设备维护由投标人负责。</w:t>
      </w:r>
    </w:p>
    <w:p w14:paraId="0E2EA74F">
      <w:pPr>
        <w:pStyle w:val="6"/>
        <w:rPr>
          <w:highlight w:val="none"/>
        </w:rPr>
      </w:pPr>
      <w:r>
        <w:rPr>
          <w:rFonts w:hint="eastAsia"/>
          <w:highlight w:val="none"/>
        </w:rPr>
        <w:t>照明及检修（插座）电源系统维护由投标人负责。</w:t>
      </w:r>
    </w:p>
    <w:p w14:paraId="38655931">
      <w:pPr>
        <w:pStyle w:val="6"/>
        <w:rPr>
          <w:highlight w:val="none"/>
        </w:rPr>
      </w:pPr>
      <w:r>
        <w:rPr>
          <w:rFonts w:hint="eastAsia"/>
          <w:highlight w:val="none"/>
        </w:rPr>
        <w:t>天然气</w:t>
      </w:r>
      <w:r>
        <w:rPr>
          <w:rFonts w:hint="eastAsia"/>
          <w:highlight w:val="none"/>
          <w:lang w:val="en-US" w:eastAsia="zh-CN"/>
        </w:rPr>
        <w:t>调压</w:t>
      </w:r>
      <w:r>
        <w:rPr>
          <w:rFonts w:hint="eastAsia"/>
          <w:highlight w:val="none"/>
        </w:rPr>
        <w:t>站电气设备维护由投标人负责。</w:t>
      </w:r>
    </w:p>
    <w:p w14:paraId="03A10350">
      <w:pPr>
        <w:pStyle w:val="6"/>
        <w:rPr>
          <w:highlight w:val="none"/>
        </w:rPr>
      </w:pPr>
      <w:r>
        <w:rPr>
          <w:rFonts w:hint="eastAsia"/>
          <w:highlight w:val="none"/>
        </w:rPr>
        <w:t>各种试验配合工作。</w:t>
      </w:r>
    </w:p>
    <w:p w14:paraId="03D35B72">
      <w:pPr>
        <w:pStyle w:val="6"/>
        <w:rPr>
          <w:highlight w:val="none"/>
        </w:rPr>
      </w:pPr>
      <w:r>
        <w:rPr>
          <w:rFonts w:hint="eastAsia"/>
          <w:highlight w:val="none"/>
        </w:rPr>
        <w:t>从</w:t>
      </w:r>
      <w:r>
        <w:rPr>
          <w:rFonts w:hint="eastAsia"/>
          <w:highlight w:val="none"/>
          <w:lang w:val="en-US" w:eastAsia="zh-CN"/>
        </w:rPr>
        <w:t>配电室</w:t>
      </w:r>
      <w:r>
        <w:rPr>
          <w:rFonts w:hint="eastAsia"/>
          <w:highlight w:val="none"/>
        </w:rPr>
        <w:t>至构建筑物风机、起重设备、消防及暖通电缆维护由投标人负责。</w:t>
      </w:r>
    </w:p>
    <w:p w14:paraId="231B8522">
      <w:pPr>
        <w:pStyle w:val="6"/>
        <w:rPr>
          <w:highlight w:val="none"/>
        </w:rPr>
      </w:pPr>
      <w:r>
        <w:rPr>
          <w:rFonts w:hint="eastAsia"/>
          <w:highlight w:val="none"/>
        </w:rPr>
        <w:t>投标人负责全厂配电柜、控制柜及所有电机的保洁工作。</w:t>
      </w:r>
    </w:p>
    <w:p w14:paraId="085C4490">
      <w:pPr>
        <w:pStyle w:val="6"/>
        <w:rPr>
          <w:highlight w:val="none"/>
        </w:rPr>
      </w:pPr>
      <w:r>
        <w:rPr>
          <w:rFonts w:hint="eastAsia"/>
          <w:highlight w:val="none"/>
        </w:rPr>
        <w:t>本次维护范围内电气专业检修工作需使用的焊工、运输、搭架、拆装等工种配合工作。</w:t>
      </w:r>
    </w:p>
    <w:p w14:paraId="43FD6A3B">
      <w:pPr>
        <w:pStyle w:val="6"/>
        <w:rPr>
          <w:highlight w:val="none"/>
        </w:rPr>
      </w:pPr>
      <w:r>
        <w:rPr>
          <w:rFonts w:hint="eastAsia"/>
          <w:highlight w:val="none"/>
        </w:rPr>
        <w:t>本次维护范围内电气专业需增设的负荷电源、控制、信号、光纤电缆的更换或敷设及接线及端子箱内的清扫等工作。</w:t>
      </w:r>
    </w:p>
    <w:p w14:paraId="4EF50379">
      <w:pPr>
        <w:pStyle w:val="6"/>
        <w:rPr>
          <w:highlight w:val="none"/>
        </w:rPr>
      </w:pPr>
      <w:r>
        <w:rPr>
          <w:rFonts w:hint="eastAsia"/>
          <w:highlight w:val="none"/>
        </w:rPr>
        <w:t>本次维护范围内电动工器具、电气安全用具校验及维护</w:t>
      </w:r>
      <w:r>
        <w:rPr>
          <w:rFonts w:hint="eastAsia"/>
          <w:highlight w:val="none"/>
          <w:lang w:eastAsia="zh-CN"/>
        </w:rPr>
        <w:t>，</w:t>
      </w:r>
      <w:r>
        <w:rPr>
          <w:rFonts w:hint="eastAsia"/>
          <w:highlight w:val="none"/>
        </w:rPr>
        <w:t>并建立台账（包括招标人相关电动工具及仪器设备）。</w:t>
      </w:r>
    </w:p>
    <w:p w14:paraId="474353DD">
      <w:pPr>
        <w:pStyle w:val="5"/>
        <w:rPr>
          <w:highlight w:val="none"/>
        </w:rPr>
      </w:pPr>
      <w:r>
        <w:rPr>
          <w:rFonts w:hint="eastAsia"/>
          <w:highlight w:val="none"/>
        </w:rPr>
        <w:t>热控专业工作内容</w:t>
      </w:r>
    </w:p>
    <w:p w14:paraId="3E10E2DA">
      <w:pPr>
        <w:pStyle w:val="6"/>
        <w:rPr>
          <w:highlight w:val="none"/>
        </w:rPr>
      </w:pPr>
      <w:r>
        <w:rPr>
          <w:rFonts w:hint="eastAsia"/>
          <w:highlight w:val="none"/>
        </w:rPr>
        <w:t>所有电/气/液动执行机构的拆装、调试、维护、消缺工作；电动执行器包含机械部分（驱动、传动、制动结构）和电子部分（电源、控制、操作回路、电缆）；气动执行机构包括压缩空气管路（含接头及消漏）、过滤减压阀、气源放大器、电磁阀、定位器、气缸、膜盒等附件。</w:t>
      </w:r>
    </w:p>
    <w:p w14:paraId="05499238">
      <w:pPr>
        <w:pStyle w:val="6"/>
        <w:rPr>
          <w:highlight w:val="none"/>
        </w:rPr>
      </w:pPr>
      <w:r>
        <w:rPr>
          <w:rFonts w:hint="eastAsia"/>
          <w:highlight w:val="none"/>
        </w:rPr>
        <w:t>所有压力、差压、物位测量仪表的引压管路、测量筒及其二次门、排污门、排污管路的维护、消缺工作，所有温度测量元件管座及保护套管的拆装均由投标人负责。</w:t>
      </w:r>
    </w:p>
    <w:p w14:paraId="7D40FD61">
      <w:pPr>
        <w:pStyle w:val="6"/>
        <w:rPr>
          <w:rFonts w:hint="eastAsia"/>
          <w:highlight w:val="none"/>
        </w:rPr>
      </w:pPr>
      <w:r>
        <w:rPr>
          <w:rFonts w:hint="eastAsia"/>
          <w:highlight w:val="none"/>
        </w:rPr>
        <w:t>所有分析类仪表等设备系统的维护、消缺工作。</w:t>
      </w:r>
    </w:p>
    <w:p w14:paraId="5DB40133">
      <w:pPr>
        <w:pStyle w:val="6"/>
        <w:rPr>
          <w:highlight w:val="none"/>
        </w:rPr>
      </w:pPr>
      <w:r>
        <w:rPr>
          <w:rFonts w:hint="eastAsia"/>
          <w:highlight w:val="none"/>
        </w:rPr>
        <w:t>各种试验的配合工作。</w:t>
      </w:r>
    </w:p>
    <w:p w14:paraId="217358B1">
      <w:pPr>
        <w:pStyle w:val="6"/>
        <w:rPr>
          <w:highlight w:val="none"/>
        </w:rPr>
      </w:pPr>
      <w:r>
        <w:rPr>
          <w:rFonts w:hint="eastAsia"/>
          <w:highlight w:val="none"/>
        </w:rPr>
        <w:t>所有热控控制箱、取样管道等热控设备的保温、温度控制器等的维护消缺以及防寒、防冻、防汛、防暑等工作。</w:t>
      </w:r>
    </w:p>
    <w:p w14:paraId="2E8493E3">
      <w:pPr>
        <w:pStyle w:val="6"/>
        <w:rPr>
          <w:highlight w:val="none"/>
        </w:rPr>
      </w:pPr>
      <w:r>
        <w:rPr>
          <w:rFonts w:hint="eastAsia"/>
          <w:highlight w:val="none"/>
        </w:rPr>
        <w:t>所有热控电缆桥架、电缆沟道、电缆支架及附件的维护工作；所有与热控专业有关的防腐、标志标识等工作。</w:t>
      </w:r>
    </w:p>
    <w:p w14:paraId="27C84BCE">
      <w:pPr>
        <w:pStyle w:val="6"/>
        <w:rPr>
          <w:highlight w:val="none"/>
        </w:rPr>
      </w:pPr>
      <w:r>
        <w:rPr>
          <w:rFonts w:hint="eastAsia"/>
          <w:highlight w:val="none"/>
        </w:rPr>
        <w:t>热控设备（含现场热控仪表、电子间控制机柜、现场控制箱、端子箱等）的文明卫生由投标人负责；文明卫生工作的具体内容和要求以招标人的相关规定为准。</w:t>
      </w:r>
    </w:p>
    <w:p w14:paraId="4851986E">
      <w:pPr>
        <w:pStyle w:val="6"/>
        <w:rPr>
          <w:highlight w:val="none"/>
        </w:rPr>
      </w:pPr>
      <w:r>
        <w:rPr>
          <w:rFonts w:hint="eastAsia"/>
          <w:highlight w:val="none"/>
        </w:rPr>
        <w:t>所有热控电子间下的电缆夹层、电缆桥架、电缆沟道等的文明卫生工作均由投标人负责。</w:t>
      </w:r>
    </w:p>
    <w:p w14:paraId="7F28BB6F">
      <w:pPr>
        <w:pStyle w:val="6"/>
        <w:rPr>
          <w:highlight w:val="none"/>
        </w:rPr>
      </w:pPr>
      <w:r>
        <w:rPr>
          <w:rFonts w:hint="eastAsia"/>
          <w:highlight w:val="none"/>
        </w:rPr>
        <w:t>全厂范围内的热控设备因生产需要，临时发生的热控设备、装置及其相关配套改造工作，包括设备、装置的安装、电缆敷设、电缆穿线管、气源管道敷设、焊接等工作由投标人负责。</w:t>
      </w:r>
    </w:p>
    <w:p w14:paraId="2C9193BF">
      <w:pPr>
        <w:pStyle w:val="6"/>
        <w:rPr>
          <w:highlight w:val="none"/>
        </w:rPr>
      </w:pPr>
      <w:r>
        <w:rPr>
          <w:rFonts w:hint="eastAsia"/>
          <w:highlight w:val="none"/>
        </w:rPr>
        <w:t>虽属于招标人维护范围，但需要投标人配合的工作，如集控室、电子间内所有显示器、大屏幕、控制柜等设备的拆、装、更换等工作均由投标人负责。</w:t>
      </w:r>
    </w:p>
    <w:p w14:paraId="5A461CF8">
      <w:pPr>
        <w:pStyle w:val="6"/>
        <w:rPr>
          <w:highlight w:val="none"/>
        </w:rPr>
      </w:pPr>
      <w:r>
        <w:rPr>
          <w:rFonts w:hint="eastAsia"/>
          <w:highlight w:val="none"/>
        </w:rPr>
        <w:t>全厂范围内所有热控仪表、传感器的拆装、消缺、调试及日常校验等工作均由投标人负责。</w:t>
      </w:r>
    </w:p>
    <w:p w14:paraId="68E90CBD">
      <w:pPr>
        <w:pStyle w:val="6"/>
        <w:rPr>
          <w:highlight w:val="none"/>
        </w:rPr>
      </w:pPr>
      <w:r>
        <w:rPr>
          <w:rFonts w:hint="eastAsia"/>
          <w:highlight w:val="none"/>
        </w:rPr>
        <w:t>天然气</w:t>
      </w:r>
      <w:r>
        <w:rPr>
          <w:rFonts w:hint="eastAsia"/>
          <w:highlight w:val="none"/>
          <w:lang w:val="en-US" w:eastAsia="zh-CN"/>
        </w:rPr>
        <w:t>调压</w:t>
      </w:r>
      <w:r>
        <w:rPr>
          <w:rFonts w:hint="eastAsia"/>
          <w:highlight w:val="none"/>
        </w:rPr>
        <w:t>站内热</w:t>
      </w:r>
      <w:r>
        <w:rPr>
          <w:rFonts w:hint="eastAsia"/>
          <w:highlight w:val="none"/>
          <w:lang w:val="en-US" w:eastAsia="zh-CN"/>
        </w:rPr>
        <w:t>控</w:t>
      </w:r>
      <w:r>
        <w:rPr>
          <w:rFonts w:hint="eastAsia"/>
          <w:highlight w:val="none"/>
        </w:rPr>
        <w:t>仪系统维护由投标人负责。</w:t>
      </w:r>
    </w:p>
    <w:p w14:paraId="79E6FD8B">
      <w:pPr>
        <w:pStyle w:val="6"/>
        <w:rPr>
          <w:highlight w:val="none"/>
        </w:rPr>
      </w:pPr>
      <w:r>
        <w:rPr>
          <w:rFonts w:hint="eastAsia"/>
          <w:highlight w:val="none"/>
        </w:rPr>
        <w:t>现场热控设备与</w:t>
      </w:r>
      <w:r>
        <w:rPr>
          <w:rFonts w:hint="eastAsia"/>
          <w:highlight w:val="none"/>
          <w:lang w:eastAsia="zh-CN"/>
        </w:rPr>
        <w:t>TSI</w:t>
      </w:r>
      <w:r>
        <w:rPr>
          <w:rFonts w:hint="eastAsia"/>
          <w:highlight w:val="none"/>
        </w:rPr>
        <w:t>/DCS/PLC控制系统有远传信号联系的，以</w:t>
      </w:r>
      <w:r>
        <w:rPr>
          <w:rFonts w:hint="eastAsia"/>
          <w:highlight w:val="none"/>
          <w:lang w:eastAsia="zh-CN"/>
        </w:rPr>
        <w:t>TSI</w:t>
      </w:r>
      <w:r>
        <w:rPr>
          <w:rFonts w:hint="eastAsia"/>
          <w:highlight w:val="none"/>
        </w:rPr>
        <w:t>/DCS/PLC控制系统机柜接入端子排为界，端子排（包括端子排）以下的设备，均包含在本维护范围内；无信号联系的，就地设备系统及其附属装置作为一个整体，均由投标人负责。</w:t>
      </w:r>
    </w:p>
    <w:p w14:paraId="74F969E9">
      <w:pPr>
        <w:pStyle w:val="6"/>
        <w:rPr>
          <w:highlight w:val="none"/>
        </w:rPr>
      </w:pPr>
      <w:r>
        <w:rPr>
          <w:rFonts w:hint="eastAsia"/>
          <w:highlight w:val="none"/>
        </w:rPr>
        <w:t>因检修工作需要的热控盘柜的起吊、拆装和搬运等工作。</w:t>
      </w:r>
    </w:p>
    <w:p w14:paraId="04534CD1">
      <w:pPr>
        <w:pStyle w:val="6"/>
        <w:rPr>
          <w:highlight w:val="none"/>
        </w:rPr>
      </w:pPr>
      <w:r>
        <w:rPr>
          <w:rFonts w:hint="eastAsia"/>
          <w:highlight w:val="none"/>
        </w:rPr>
        <w:t>因检修工作需要的所有热控设备的相应电缆、光纤、管路更换、敷设、接线等由投标人负责。</w:t>
      </w:r>
    </w:p>
    <w:p w14:paraId="35D5998D">
      <w:pPr>
        <w:pStyle w:val="5"/>
      </w:pPr>
      <w:r>
        <w:rPr>
          <w:rFonts w:hint="eastAsia"/>
        </w:rPr>
        <w:t>化学专业工作内容</w:t>
      </w:r>
    </w:p>
    <w:p w14:paraId="2460C342">
      <w:pPr>
        <w:pStyle w:val="6"/>
        <w:rPr>
          <w:highlight w:val="none"/>
        </w:rPr>
      </w:pPr>
      <w:r>
        <w:rPr>
          <w:rFonts w:hint="eastAsia"/>
          <w:highlight w:val="none"/>
        </w:rPr>
        <w:t>投标人负责上述承包范围内设备的维护、抢修、消缺；招标人要求投标人提供的其它配合工作，以及所辖范围内的设备保洁</w:t>
      </w:r>
      <w:r>
        <w:rPr>
          <w:rFonts w:hint="eastAsia"/>
          <w:highlight w:val="none"/>
          <w:lang w:eastAsia="zh-CN"/>
        </w:rPr>
        <w:t>。</w:t>
      </w:r>
    </w:p>
    <w:p w14:paraId="059A0B77">
      <w:pPr>
        <w:pStyle w:val="6"/>
      </w:pPr>
      <w:r>
        <w:rPr>
          <w:rFonts w:hint="eastAsia"/>
        </w:rPr>
        <w:t>对化学班管辖设备（包括：</w:t>
      </w:r>
      <w:r>
        <w:rPr>
          <w:rFonts w:hint="eastAsia"/>
          <w:lang w:val="en-US" w:eastAsia="zh-CN"/>
        </w:rPr>
        <w:t>水池</w:t>
      </w:r>
      <w:r>
        <w:rPr>
          <w:rFonts w:hint="eastAsia"/>
        </w:rPr>
        <w:t>、锅炉补给水处理系统、</w:t>
      </w:r>
      <w:r>
        <w:rPr>
          <w:rFonts w:hint="eastAsia"/>
          <w:lang w:val="en-US" w:eastAsia="zh-CN"/>
        </w:rPr>
        <w:t>联</w:t>
      </w:r>
      <w:r>
        <w:rPr>
          <w:rFonts w:hint="eastAsia"/>
        </w:rPr>
        <w:t>合水泵房、炉内加药系统、机组汽水取样系统、生活污水</w:t>
      </w:r>
      <w:r>
        <w:rPr>
          <w:rFonts w:hint="eastAsia"/>
          <w:lang w:val="en-US" w:eastAsia="zh-CN"/>
        </w:rPr>
        <w:t>管道</w:t>
      </w:r>
      <w:r>
        <w:rPr>
          <w:rFonts w:hint="eastAsia"/>
        </w:rPr>
        <w:t>、循环水加药系统）巡视检查，及时发现和上报设备缺陷。</w:t>
      </w:r>
    </w:p>
    <w:p w14:paraId="759D5F0F">
      <w:pPr>
        <w:pStyle w:val="6"/>
        <w:rPr>
          <w:highlight w:val="none"/>
        </w:rPr>
      </w:pPr>
      <w:r>
        <w:rPr>
          <w:rFonts w:hint="eastAsia"/>
        </w:rPr>
        <w:t>所有化学区域内设备、仪器、环境的保洁工作。</w:t>
      </w:r>
    </w:p>
    <w:p w14:paraId="595C4879">
      <w:pPr>
        <w:pStyle w:val="6"/>
        <w:rPr>
          <w:highlight w:val="none"/>
        </w:rPr>
      </w:pPr>
      <w:r>
        <w:rPr>
          <w:rFonts w:hint="eastAsia"/>
          <w:highlight w:val="none"/>
        </w:rPr>
        <w:t>在线化学仪器、仪表的运行、巡检、消缺、检修、定期养（维）护。</w:t>
      </w:r>
    </w:p>
    <w:p w14:paraId="1B8333AF">
      <w:pPr>
        <w:pStyle w:val="6"/>
        <w:rPr>
          <w:highlight w:val="none"/>
        </w:rPr>
      </w:pPr>
      <w:r>
        <w:rPr>
          <w:rFonts w:hint="eastAsia"/>
          <w:highlight w:val="none"/>
        </w:rPr>
        <w:t>化学区域仪器、仪表定期进行各项检查、校核、清洗工作，并建立台账（每台仪表有独立台账）。</w:t>
      </w:r>
    </w:p>
    <w:p w14:paraId="48261AC3">
      <w:pPr>
        <w:pStyle w:val="6"/>
        <w:rPr>
          <w:highlight w:val="none"/>
        </w:rPr>
      </w:pPr>
      <w:r>
        <w:rPr>
          <w:rFonts w:hint="eastAsia"/>
          <w:highlight w:val="none"/>
        </w:rPr>
        <w:t>化学区域仪器、仪表定期维护和保养（如更换过滤器、干燥剂等）。根据机组启、停情况、及时进行水汽集中取样装置及仪表投运或退出保养。</w:t>
      </w:r>
    </w:p>
    <w:p w14:paraId="0D03621D">
      <w:pPr>
        <w:pStyle w:val="6"/>
        <w:rPr>
          <w:highlight w:val="none"/>
        </w:rPr>
      </w:pPr>
      <w:r>
        <w:rPr>
          <w:rFonts w:hint="eastAsia"/>
          <w:highlight w:val="none"/>
        </w:rPr>
        <w:t>为保证仪表正常运行所需要的水样、电源、信号输出等附属工作、设备的运行维护。</w:t>
      </w:r>
    </w:p>
    <w:p w14:paraId="4BB146DE">
      <w:pPr>
        <w:pStyle w:val="6"/>
        <w:rPr>
          <w:highlight w:val="none"/>
        </w:rPr>
      </w:pPr>
      <w:r>
        <w:rPr>
          <w:rFonts w:hint="eastAsia"/>
          <w:highlight w:val="none"/>
        </w:rPr>
        <w:t>所有维保范围内的仪器、仪表、设备和盘柜的卫生。</w:t>
      </w:r>
    </w:p>
    <w:p w14:paraId="212C187A">
      <w:pPr>
        <w:pStyle w:val="6"/>
        <w:rPr>
          <w:highlight w:val="none"/>
        </w:rPr>
      </w:pPr>
      <w:r>
        <w:rPr>
          <w:rFonts w:hint="eastAsia"/>
          <w:highlight w:val="none"/>
        </w:rPr>
        <w:t>所有维保范围内的仪表、设备的备品、配件运输工作。</w:t>
      </w:r>
    </w:p>
    <w:p w14:paraId="157733C8">
      <w:pPr>
        <w:pStyle w:val="6"/>
        <w:rPr>
          <w:highlight w:val="none"/>
        </w:rPr>
      </w:pPr>
      <w:r>
        <w:rPr>
          <w:rFonts w:hint="eastAsia"/>
          <w:highlight w:val="none"/>
        </w:rPr>
        <w:t>按时提交零配件的加工、采购、运维药品、备品备件及现场仪表维修计划（至少提前1个月提交计划）。</w:t>
      </w:r>
    </w:p>
    <w:p w14:paraId="5CF5D60E">
      <w:pPr>
        <w:pStyle w:val="6"/>
        <w:rPr>
          <w:highlight w:val="none"/>
        </w:rPr>
      </w:pPr>
      <w:r>
        <w:rPr>
          <w:rFonts w:hint="eastAsia"/>
          <w:highlight w:val="none"/>
        </w:rPr>
        <w:t>负责所属设备漏水、漏气、漏药、漏油等处理、清理工作。</w:t>
      </w:r>
    </w:p>
    <w:p w14:paraId="44563560">
      <w:pPr>
        <w:pStyle w:val="6"/>
        <w:rPr>
          <w:highlight w:val="none"/>
        </w:rPr>
      </w:pPr>
      <w:r>
        <w:rPr>
          <w:rFonts w:hint="eastAsia"/>
          <w:highlight w:val="none"/>
        </w:rPr>
        <w:t>按招标人对运行维护单位管理要求建立各项台账、记录、表格、日志等。</w:t>
      </w:r>
    </w:p>
    <w:p w14:paraId="4B386AF1">
      <w:pPr>
        <w:pStyle w:val="6"/>
        <w:rPr>
          <w:highlight w:val="none"/>
        </w:rPr>
      </w:pPr>
      <w:r>
        <w:rPr>
          <w:rFonts w:hint="eastAsia"/>
          <w:highlight w:val="none"/>
        </w:rPr>
        <w:t>投标人根据招标人现场设备运行情况，按照招标人要求安排加班、值班人员，保证机组运行后化学仪表的及时投运。</w:t>
      </w:r>
    </w:p>
    <w:p w14:paraId="3B418B74">
      <w:pPr>
        <w:pStyle w:val="6"/>
        <w:rPr>
          <w:highlight w:val="none"/>
        </w:rPr>
      </w:pPr>
      <w:r>
        <w:rPr>
          <w:rFonts w:hint="eastAsia"/>
          <w:highlight w:val="none"/>
        </w:rPr>
        <w:t>投标人负责对所有仪表的投运，招标人机组日启停时，并网1小时内所有在线仪表全部正常投运，除日启停外，机组并网2小时内所有在线仪表全部正常投运。除以上时间外，其他时间均作为仪表投入率考核范围。</w:t>
      </w:r>
    </w:p>
    <w:p w14:paraId="544FD67A">
      <w:pPr>
        <w:pStyle w:val="6"/>
        <w:rPr>
          <w:highlight w:val="none"/>
        </w:rPr>
      </w:pPr>
      <w:r>
        <w:rPr>
          <w:rFonts w:hint="eastAsia"/>
          <w:highlight w:val="none"/>
        </w:rPr>
        <w:t>招标人仪表故障或测量不准时，投标人负责1小时内恢复正常（缺少备件或药品除外）。</w:t>
      </w:r>
    </w:p>
    <w:p w14:paraId="6DC384A7">
      <w:pPr>
        <w:pStyle w:val="6"/>
        <w:rPr>
          <w:highlight w:val="none"/>
        </w:rPr>
      </w:pPr>
      <w:r>
        <w:rPr>
          <w:rFonts w:hint="eastAsia"/>
          <w:highlight w:val="none"/>
        </w:rPr>
        <w:t>因投标人原因导致仪表运行维护不当，造成的后果由投标人承担，所产生费用从合同总金额中扣除。</w:t>
      </w:r>
    </w:p>
    <w:p w14:paraId="23777830">
      <w:pPr>
        <w:pStyle w:val="6"/>
        <w:rPr>
          <w:highlight w:val="none"/>
        </w:rPr>
      </w:pPr>
      <w:r>
        <w:rPr>
          <w:rFonts w:hint="eastAsia"/>
          <w:highlight w:val="none"/>
        </w:rPr>
        <w:t>投标人每周用标准溶液对在线仪表准确性进行比对，不能用标准溶液进行比对的仪表，用双方认可的其他仪表进行比对。比对结果双方签字，作为仪表准确率考核依据。</w:t>
      </w:r>
    </w:p>
    <w:p w14:paraId="6A7732A9">
      <w:pPr>
        <w:pStyle w:val="6"/>
        <w:rPr>
          <w:highlight w:val="none"/>
        </w:rPr>
      </w:pPr>
      <w:r>
        <w:rPr>
          <w:rFonts w:hint="eastAsia"/>
          <w:highlight w:val="none"/>
        </w:rPr>
        <w:t>招标人委托其他单位的试验项目及所有免责项目，投标人负责提供配合工作。</w:t>
      </w:r>
    </w:p>
    <w:p w14:paraId="15F37E9A">
      <w:pPr>
        <w:pStyle w:val="5"/>
        <w:bidi w:val="0"/>
        <w:rPr>
          <w:rFonts w:hint="default"/>
          <w:lang w:val="en-US" w:eastAsia="zh-CN"/>
        </w:rPr>
      </w:pPr>
      <w:r>
        <w:rPr>
          <w:rFonts w:hint="default"/>
          <w:lang w:val="en-US" w:eastAsia="zh-CN"/>
        </w:rPr>
        <w:t>厂</w:t>
      </w:r>
      <w:r>
        <w:rPr>
          <w:rFonts w:hint="eastAsia"/>
          <w:lang w:val="en-US" w:eastAsia="zh-CN"/>
        </w:rPr>
        <w:t>区</w:t>
      </w:r>
      <w:r>
        <w:rPr>
          <w:rFonts w:hint="default"/>
          <w:lang w:val="en-US" w:eastAsia="zh-CN"/>
        </w:rPr>
        <w:t>外</w:t>
      </w:r>
      <w:r>
        <w:rPr>
          <w:rFonts w:hint="eastAsia"/>
          <w:lang w:val="en-US" w:eastAsia="zh-CN"/>
        </w:rPr>
        <w:t>系统</w:t>
      </w:r>
      <w:r>
        <w:rPr>
          <w:rFonts w:hint="default"/>
          <w:lang w:val="en-US" w:eastAsia="zh-CN"/>
        </w:rPr>
        <w:t>工作</w:t>
      </w:r>
      <w:r>
        <w:rPr>
          <w:rFonts w:hint="eastAsia"/>
          <w:lang w:val="en-US" w:eastAsia="zh-CN"/>
        </w:rPr>
        <w:t>内容</w:t>
      </w:r>
    </w:p>
    <w:p w14:paraId="7A18DA1B">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color w:val="auto"/>
          <w:sz w:val="24"/>
          <w:szCs w:val="24"/>
          <w:highlight w:val="none"/>
        </w:rPr>
      </w:pPr>
      <w:r>
        <w:rPr>
          <w:rFonts w:hint="eastAsia"/>
          <w:sz w:val="24"/>
          <w:szCs w:val="24"/>
          <w:highlight w:val="none"/>
          <w:lang w:val="en-US" w:eastAsia="zh-CN"/>
        </w:rPr>
        <w:t>1.电力送出工程：</w:t>
      </w:r>
      <w:r>
        <w:rPr>
          <w:rFonts w:hint="eastAsia"/>
          <w:color w:val="auto"/>
          <w:sz w:val="24"/>
          <w:szCs w:val="24"/>
          <w:highlight w:val="none"/>
        </w:rPr>
        <w:t>厂外电厂责任范围内</w:t>
      </w:r>
      <w:r>
        <w:rPr>
          <w:rFonts w:hint="eastAsia"/>
          <w:color w:val="auto"/>
          <w:sz w:val="24"/>
          <w:szCs w:val="24"/>
          <w:highlight w:val="none"/>
          <w:lang w:val="en-US" w:eastAsia="zh-CN"/>
        </w:rPr>
        <w:t>10</w:t>
      </w:r>
      <w:r>
        <w:rPr>
          <w:rFonts w:hint="eastAsia"/>
          <w:color w:val="auto"/>
          <w:sz w:val="24"/>
          <w:szCs w:val="24"/>
          <w:highlight w:val="none"/>
        </w:rPr>
        <w:t>kV</w:t>
      </w:r>
      <w:r>
        <w:rPr>
          <w:rFonts w:hint="eastAsia"/>
          <w:color w:val="auto"/>
          <w:sz w:val="24"/>
          <w:szCs w:val="24"/>
          <w:highlight w:val="none"/>
          <w:lang w:val="en-US" w:eastAsia="zh-CN"/>
        </w:rPr>
        <w:t>线路（含架空及</w:t>
      </w:r>
      <w:r>
        <w:rPr>
          <w:rFonts w:hint="eastAsia"/>
          <w:color w:val="auto"/>
          <w:sz w:val="24"/>
          <w:szCs w:val="24"/>
          <w:highlight w:val="none"/>
        </w:rPr>
        <w:t>电缆</w:t>
      </w:r>
      <w:r>
        <w:rPr>
          <w:rFonts w:hint="eastAsia"/>
          <w:color w:val="auto"/>
          <w:sz w:val="24"/>
          <w:szCs w:val="24"/>
          <w:highlight w:val="none"/>
          <w:lang w:eastAsia="zh-CN"/>
        </w:rPr>
        <w:t>），</w:t>
      </w:r>
      <w:r>
        <w:rPr>
          <w:rFonts w:hint="eastAsia"/>
          <w:color w:val="auto"/>
          <w:sz w:val="24"/>
          <w:szCs w:val="24"/>
          <w:highlight w:val="none"/>
          <w:lang w:val="en-US" w:eastAsia="zh-CN"/>
        </w:rPr>
        <w:t>每月至少巡查一次（形成图片、记录备查）</w:t>
      </w:r>
      <w:r>
        <w:rPr>
          <w:rFonts w:hint="eastAsia"/>
          <w:color w:val="auto"/>
          <w:sz w:val="24"/>
          <w:szCs w:val="24"/>
          <w:highlight w:val="none"/>
        </w:rPr>
        <w:t>。</w:t>
      </w:r>
    </w:p>
    <w:p w14:paraId="5012BE75">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sz w:val="24"/>
          <w:szCs w:val="24"/>
          <w:highlight w:val="none"/>
          <w:lang w:val="en-US" w:eastAsia="zh-CN"/>
        </w:rPr>
      </w:pPr>
      <w:r>
        <w:rPr>
          <w:rFonts w:hint="eastAsia"/>
          <w:sz w:val="24"/>
          <w:szCs w:val="24"/>
          <w:highlight w:val="none"/>
          <w:lang w:val="en-US" w:eastAsia="zh-CN"/>
        </w:rPr>
        <w:t>2.直供天然气管线：云龙配气站至电厂直供约22.604KM天然气管线，每月至少巡查一次</w:t>
      </w:r>
      <w:r>
        <w:rPr>
          <w:rFonts w:hint="eastAsia"/>
          <w:color w:val="auto"/>
          <w:sz w:val="24"/>
          <w:szCs w:val="24"/>
          <w:highlight w:val="none"/>
          <w:lang w:val="en-US" w:eastAsia="zh-CN"/>
        </w:rPr>
        <w:t>（形成图片、记录备查）</w:t>
      </w:r>
      <w:r>
        <w:rPr>
          <w:rFonts w:hint="eastAsia"/>
          <w:sz w:val="24"/>
          <w:szCs w:val="24"/>
          <w:highlight w:val="none"/>
          <w:lang w:val="en-US" w:eastAsia="zh-CN"/>
        </w:rPr>
        <w:t>；</w:t>
      </w:r>
    </w:p>
    <w:p w14:paraId="61A5C55C">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sz w:val="24"/>
          <w:szCs w:val="24"/>
          <w:highlight w:val="none"/>
          <w:lang w:val="en-US" w:eastAsia="zh-CN"/>
        </w:rPr>
      </w:pPr>
      <w:r>
        <w:rPr>
          <w:rFonts w:hint="eastAsia"/>
          <w:sz w:val="24"/>
          <w:szCs w:val="24"/>
          <w:highlight w:val="none"/>
          <w:lang w:val="en-US" w:eastAsia="zh-CN"/>
        </w:rPr>
        <w:t>3.厂外供热蒸汽管线：厂外供热蒸汽管线，每周至少巡查一次</w:t>
      </w:r>
      <w:r>
        <w:rPr>
          <w:rFonts w:hint="eastAsia"/>
          <w:color w:val="auto"/>
          <w:sz w:val="24"/>
          <w:szCs w:val="24"/>
          <w:highlight w:val="none"/>
          <w:lang w:val="en-US" w:eastAsia="zh-CN"/>
        </w:rPr>
        <w:t>（形成图片、记录备查）</w:t>
      </w:r>
      <w:r>
        <w:rPr>
          <w:rFonts w:hint="eastAsia"/>
          <w:sz w:val="24"/>
          <w:szCs w:val="24"/>
          <w:highlight w:val="none"/>
          <w:lang w:val="en-US" w:eastAsia="zh-CN"/>
        </w:rPr>
        <w:t>。</w:t>
      </w:r>
    </w:p>
    <w:p w14:paraId="6859720B">
      <w:pPr>
        <w:pStyle w:val="4"/>
      </w:pPr>
      <w:bookmarkStart w:id="10" w:name="_Toc31998"/>
      <w:r>
        <w:rPr>
          <w:rFonts w:hint="eastAsia"/>
        </w:rPr>
        <w:t>工作</w:t>
      </w:r>
      <w:r>
        <w:t>标准</w:t>
      </w:r>
      <w:bookmarkEnd w:id="10"/>
    </w:p>
    <w:p w14:paraId="0BA18540">
      <w:pPr>
        <w:pStyle w:val="65"/>
        <w:ind w:firstLine="480"/>
        <w:rPr>
          <w:sz w:val="21"/>
          <w:szCs w:val="21"/>
        </w:rPr>
      </w:pPr>
      <w:r>
        <w:rPr>
          <w:rFonts w:hint="eastAsia"/>
        </w:rPr>
        <w:t>投标人要履行安全生产主体责任，严格执行</w:t>
      </w:r>
      <w:r>
        <w:rPr>
          <w:rFonts w:hint="eastAsia"/>
          <w:lang w:val="en-US" w:eastAsia="zh-CN"/>
        </w:rPr>
        <w:t>国家</w:t>
      </w:r>
      <w:r>
        <w:rPr>
          <w:rFonts w:hint="eastAsia"/>
        </w:rPr>
        <w:t>《电力安全工作规程》及</w:t>
      </w:r>
      <w:r>
        <w:rPr>
          <w:rFonts w:hint="eastAsia"/>
          <w:lang w:val="en-US" w:eastAsia="zh-CN"/>
        </w:rPr>
        <w:t>招标人</w:t>
      </w:r>
      <w:r>
        <w:rPr>
          <w:rFonts w:hint="eastAsia"/>
        </w:rPr>
        <w:t>安全生产规章制度</w:t>
      </w:r>
      <w:r>
        <w:rPr>
          <w:rFonts w:hint="eastAsia"/>
          <w:lang w:val="en-US" w:eastAsia="zh-CN"/>
        </w:rPr>
        <w:t>或办法</w:t>
      </w:r>
      <w:r>
        <w:rPr>
          <w:rFonts w:hint="eastAsia"/>
        </w:rPr>
        <w:t>，保证作业安全。作息时间、考勤、加值班执行招标人的管理制度。</w:t>
      </w:r>
    </w:p>
    <w:p w14:paraId="7B3784BE">
      <w:pPr>
        <w:pStyle w:val="5"/>
        <w:rPr>
          <w:szCs w:val="21"/>
        </w:rPr>
      </w:pPr>
      <w:r>
        <w:rPr>
          <w:rFonts w:hint="eastAsia"/>
        </w:rPr>
        <w:t>项目部内部管理</w:t>
      </w:r>
    </w:p>
    <w:p w14:paraId="5A3CF348">
      <w:pPr>
        <w:pStyle w:val="6"/>
      </w:pPr>
      <w:r>
        <w:rPr>
          <w:rFonts w:hint="eastAsia"/>
        </w:rPr>
        <w:t>安全目标：（1）项目部应按照既定的年度安全生产目标及安全保障措施，开展项目部的安全生产管理工作。（2）项目部与班组、班组与班组个人签定年度安全目标责任书。（3）项目部控制不发生轻伤与障碍。（4）班组控制未遂和异常。（5）员工控制差错和违章。</w:t>
      </w:r>
    </w:p>
    <w:p w14:paraId="690B67C0">
      <w:pPr>
        <w:pStyle w:val="6"/>
      </w:pPr>
      <w:r>
        <w:rPr>
          <w:rFonts w:hint="eastAsia"/>
        </w:rPr>
        <w:t>责任制落实：项目部应制定维护工作标准，该标准应对各岗位所有人员的安全责任、工作职责、工作质量等进行清晰的规定。同时，各级员工都要熟知项目部对自己的工作标准要求，并在工作中认真执行。</w:t>
      </w:r>
    </w:p>
    <w:p w14:paraId="72511AD2">
      <w:pPr>
        <w:pStyle w:val="6"/>
      </w:pPr>
      <w:r>
        <w:rPr>
          <w:rFonts w:hint="eastAsia"/>
        </w:rPr>
        <w:t>制度配备：项目部应建立完整的制度体系，其中必须包括：内部考评、工作票（操作票）日常检查、反违章、员工培训、员工变更管理、安全例行工作、特殊季节劳动作业等方面的规定。</w:t>
      </w:r>
    </w:p>
    <w:p w14:paraId="701866A6">
      <w:pPr>
        <w:pStyle w:val="6"/>
      </w:pPr>
      <w:r>
        <w:rPr>
          <w:rFonts w:hint="eastAsia"/>
        </w:rPr>
        <w:t>项目负责人安全履职：严格按照国家有关法律法规、承包合同及安全协议规定，认真负责履行安全职责，包括：按规定到岗到位；有效管控施工作业现场；服从发包单位、监理单位监督管理；及时组织落实上级有关单位安全工作部署。</w:t>
      </w:r>
    </w:p>
    <w:p w14:paraId="44CDAD45">
      <w:pPr>
        <w:pStyle w:val="6"/>
      </w:pPr>
      <w:r>
        <w:rPr>
          <w:rFonts w:hint="eastAsia"/>
        </w:rPr>
        <w:t>安全员：（1</w:t>
      </w:r>
      <w:r>
        <w:t>）</w:t>
      </w:r>
      <w:r>
        <w:rPr>
          <w:rFonts w:hint="eastAsia"/>
        </w:rPr>
        <w:t>必须配备专职</w:t>
      </w:r>
      <w:r>
        <w:rPr>
          <w:rFonts w:hint="eastAsia"/>
          <w:lang w:val="en-US" w:eastAsia="zh-CN"/>
        </w:rPr>
        <w:t>或兼职</w:t>
      </w:r>
      <w:r>
        <w:rPr>
          <w:rFonts w:hint="eastAsia"/>
        </w:rPr>
        <w:t>安全员。（2）项目负责人及安全员必须接受当地安全监管机构的安全管理培训并取证。（3）安全员必须对所属班组人员进行传达和宣讲安全知识或事故通报，并定期（</w:t>
      </w:r>
      <w:r>
        <w:rPr>
          <w:rFonts w:hint="eastAsia"/>
          <w:highlight w:val="none"/>
        </w:rPr>
        <w:t>每月不少于</w:t>
      </w:r>
      <w:r>
        <w:rPr>
          <w:rFonts w:hint="eastAsia"/>
          <w:highlight w:val="none"/>
          <w:lang w:val="en-US" w:eastAsia="zh-CN"/>
        </w:rPr>
        <w:t>1</w:t>
      </w:r>
      <w:r>
        <w:rPr>
          <w:rFonts w:hint="eastAsia"/>
          <w:highlight w:val="none"/>
        </w:rPr>
        <w:t>次</w:t>
      </w:r>
      <w:r>
        <w:rPr>
          <w:rFonts w:hint="eastAsia"/>
          <w:highlight w:val="none"/>
          <w:lang w:eastAsia="zh-CN"/>
        </w:rPr>
        <w:t>，</w:t>
      </w:r>
      <w:r>
        <w:rPr>
          <w:rFonts w:hint="eastAsia"/>
          <w:highlight w:val="none"/>
          <w:lang w:val="en-US" w:eastAsia="zh-CN"/>
        </w:rPr>
        <w:t>最终按招标人安全管理规定执行</w:t>
      </w:r>
      <w:r>
        <w:rPr>
          <w:rFonts w:hint="eastAsia"/>
        </w:rPr>
        <w:t>）参加班组安全学习活动（光签名无效），检查和督促班组人员严格遵守规章制度。（4）安全员对动火及特种作业能履行安全职责坚持现场旁站，做好现场安全措施执行情况的监督工作。</w:t>
      </w:r>
    </w:p>
    <w:p w14:paraId="2D0BE4F1">
      <w:pPr>
        <w:pStyle w:val="6"/>
      </w:pPr>
      <w:r>
        <w:rPr>
          <w:rFonts w:hint="eastAsia"/>
        </w:rPr>
        <w:t>考评体系：（1）项目部安全第一责任人应每月组织开展内部考评工作，针对班组管理、工作票（操作票）执行、不安全事件等情况进行责任考核。（2）项目经理或安全员经常检查班组工作场所的工作环境、安全设施、设备工具的安全状况，发现不安全情况及时予以解决。对违反安全规定的行为予以制止及考核，并做好相关记录。</w:t>
      </w:r>
    </w:p>
    <w:p w14:paraId="4700B12D">
      <w:pPr>
        <w:pStyle w:val="6"/>
      </w:pPr>
      <w:r>
        <w:rPr>
          <w:rFonts w:hint="eastAsia"/>
        </w:rPr>
        <w:t>风险管控：（1）项目部安全第一责任人、专（兼）职安全员应每周参加班组四会（班前会、班后会、班会、作业前的站班会）至少各1次，并做好记录。（2）项目部安全第一责任人、专（兼）职安全员应经常深入现场开展安全监督检查工作，查违纠违，发现违章严格考核责任到人，并按月做好检查考核记录。</w:t>
      </w:r>
    </w:p>
    <w:p w14:paraId="2D7E4A4F">
      <w:pPr>
        <w:pStyle w:val="6"/>
      </w:pPr>
      <w:r>
        <w:rPr>
          <w:rFonts w:hint="eastAsia"/>
        </w:rPr>
        <w:t>特殊季节：（1）严格执行特殊季节期间的特殊劳动作业规定，做好高温季节防人员中暑，冬季防寒防冻措施。（2）结合实际要求制定特殊季节期间的设备防护、检查等规定。（3）制定了防台防汛期间的值班规定。</w:t>
      </w:r>
    </w:p>
    <w:p w14:paraId="474F7AE9">
      <w:pPr>
        <w:pStyle w:val="6"/>
      </w:pPr>
      <w:r>
        <w:rPr>
          <w:rFonts w:hint="eastAsia"/>
        </w:rPr>
        <w:t>人员流动：（1</w:t>
      </w:r>
      <w:r>
        <w:t>）</w:t>
      </w:r>
      <w:r>
        <w:rPr>
          <w:rFonts w:hint="eastAsia"/>
        </w:rPr>
        <w:t>新增员工进厂前，项目部应按规定自行先进行安全教育培训和考试合格，相关记录应向主管部门备案。（2</w:t>
      </w:r>
      <w:r>
        <w:t>）</w:t>
      </w:r>
      <w:r>
        <w:rPr>
          <w:rFonts w:hint="eastAsia"/>
        </w:rPr>
        <w:t>人员离开应向电厂主管部门提出申请并经批准，同时在一周内向相关部门备案。</w:t>
      </w:r>
    </w:p>
    <w:p w14:paraId="7548E4C6">
      <w:pPr>
        <w:pStyle w:val="6"/>
      </w:pPr>
      <w:r>
        <w:rPr>
          <w:rFonts w:hint="eastAsia"/>
        </w:rPr>
        <w:t>人员培训：（1）严格执行年度安全技能培训计划，新员工培训、安全培训、技术问答、特种作业人员培训等工作，要有具体的实施计划和记录；每年应至少进行一次运行/检修规程的考试。（2）新当班（含调换岗位）或上岗人员，项目部应组织考试并保留好记录。</w:t>
      </w:r>
    </w:p>
    <w:p w14:paraId="2CC3A6D8">
      <w:pPr>
        <w:pStyle w:val="6"/>
      </w:pPr>
      <w:r>
        <w:rPr>
          <w:rFonts w:hint="eastAsia"/>
        </w:rPr>
        <w:t>特种作业：项目部应动态管理特种作业人员清单，并确保每个特种作业人员的证件保持有效。</w:t>
      </w:r>
      <w:r>
        <w:rPr>
          <w:rFonts w:hint="eastAsia"/>
          <w:kern w:val="0"/>
          <w:szCs w:val="24"/>
        </w:rPr>
        <w:t>无证、证件过期的人员不得进行特种作业。</w:t>
      </w:r>
    </w:p>
    <w:p w14:paraId="441C0BFD">
      <w:pPr>
        <w:pStyle w:val="6"/>
      </w:pPr>
      <w:r>
        <w:rPr>
          <w:rFonts w:hint="eastAsia"/>
        </w:rPr>
        <w:t>劳动防护：（1）按规定发放劳动防护用品及用具。（2）做好员工劳动保护用品领用记录。（3）安全帽、安全带必须在使用有效期内。（4</w:t>
      </w:r>
      <w:r>
        <w:t>）</w:t>
      </w:r>
      <w:r>
        <w:rPr>
          <w:rFonts w:hint="eastAsia"/>
        </w:rPr>
        <w:t>班组人员配备的劳动防护用品及用具必须符合国家标准规定，劳动防护用品及用具必须是国家定点或授权的生产厂家。（5）班组人员的着装应符合安规和工种防护（电焊工）要求。</w:t>
      </w:r>
    </w:p>
    <w:p w14:paraId="200AAA13">
      <w:pPr>
        <w:pStyle w:val="6"/>
      </w:pPr>
      <w:r>
        <w:rPr>
          <w:rFonts w:hint="eastAsia"/>
        </w:rPr>
        <w:t>班组管理：（1）班组定置管理图必须上墙。（2）材料、备品备件摆放规范整齐，区分用与不用，并有专人负责管理。（3）资料柜内文件摆放整齐、有序。（4）班组应制定卫生值日规定，每日对班组环境卫生进行打扫，班容班貌整洁，员工的办公桌面清洁，物品摆放整齐，不堆放个人物品。（5）班组人员不得出现打架斗殴，遵守禁烟规定。（6</w:t>
      </w:r>
      <w:r>
        <w:t>）</w:t>
      </w:r>
      <w:r>
        <w:rPr>
          <w:rFonts w:hint="eastAsia"/>
        </w:rPr>
        <w:t>项目部应每月全面检查一次各班组管理情况，并做好记录。</w:t>
      </w:r>
    </w:p>
    <w:p w14:paraId="01CAAB4A">
      <w:pPr>
        <w:pStyle w:val="5"/>
      </w:pPr>
      <w:r>
        <w:rPr>
          <w:rFonts w:hint="eastAsia"/>
        </w:rPr>
        <w:t>项目</w:t>
      </w:r>
      <w:r>
        <w:t>部</w:t>
      </w:r>
      <w:r>
        <w:rPr>
          <w:rFonts w:hint="eastAsia"/>
        </w:rPr>
        <w:t>班组管理</w:t>
      </w:r>
    </w:p>
    <w:p w14:paraId="6C0F39EB">
      <w:pPr>
        <w:pStyle w:val="6"/>
        <w:rPr>
          <w:sz w:val="21"/>
          <w:szCs w:val="21"/>
        </w:rPr>
      </w:pPr>
      <w:r>
        <w:rPr>
          <w:rFonts w:hint="eastAsia"/>
        </w:rPr>
        <w:t>安全目标</w:t>
      </w:r>
      <w:r>
        <w:t>：</w:t>
      </w:r>
      <w:r>
        <w:rPr>
          <w:rFonts w:hint="eastAsia"/>
        </w:rPr>
        <w:t>控制不发生未遂或异常；员工控制差错和违章。</w:t>
      </w:r>
    </w:p>
    <w:p w14:paraId="73DA0E3E">
      <w:pPr>
        <w:pStyle w:val="6"/>
        <w:rPr>
          <w:rFonts w:ascii="宋体" w:hAnsi="宋体" w:cs="宋体"/>
        </w:rPr>
      </w:pPr>
      <w:r>
        <w:rPr>
          <w:rFonts w:hint="eastAsia" w:ascii="宋体" w:hAnsi="宋体" w:cs="宋体"/>
        </w:rPr>
        <w:t>工作票：（1）每天作业前，工作负责人应组织进行作业前的站班会，根据工作任务事先进行危险点分析，并向全体工作班成员进行安全技术交底。工作班成员都应该掌握对应的危险点和防范措施，在危险点分析预控措施票、现场风险看板中逐一签字。风险预控措施必须落实到具体作业人员。（2）班组应对“两票”现场执行情况进行自查，并形成每月的检查记录；发现问题后总结教训，及时进行整改。（3）班组长或工作负责人应主动发现并及时制止现违章作业，严禁带头违章。</w:t>
      </w:r>
    </w:p>
    <w:p w14:paraId="500A29B9">
      <w:pPr>
        <w:pStyle w:val="6"/>
        <w:rPr>
          <w:rFonts w:ascii="宋体" w:hAnsi="宋体" w:cs="宋体"/>
        </w:rPr>
      </w:pPr>
      <w:r>
        <w:rPr>
          <w:rFonts w:hint="eastAsia" w:ascii="宋体" w:hAnsi="宋体" w:cs="宋体"/>
        </w:rPr>
        <w:t>班组四会：（1</w:t>
      </w:r>
      <w:r>
        <w:rPr>
          <w:rFonts w:ascii="宋体" w:hAnsi="宋体" w:cs="宋体"/>
        </w:rPr>
        <w:t>）</w:t>
      </w:r>
      <w:r>
        <w:rPr>
          <w:rFonts w:hint="eastAsia" w:ascii="宋体" w:hAnsi="宋体" w:cs="宋体"/>
        </w:rPr>
        <w:t>定期开展班组安全学习活动，每月至少四次；及时传达上级或电厂转发的有关安全通报（交流），并组织认真学习，汲取教训，同时按要求做好记录。（2</w:t>
      </w:r>
      <w:r>
        <w:rPr>
          <w:rFonts w:ascii="宋体" w:hAnsi="宋体" w:cs="宋体"/>
        </w:rPr>
        <w:t>）</w:t>
      </w:r>
      <w:r>
        <w:rPr>
          <w:rFonts w:hint="eastAsia" w:ascii="宋体" w:hAnsi="宋体" w:cs="宋体"/>
        </w:rPr>
        <w:t>每天由班组长主持召开班前会，结合当天的工作任务，分析作业危险点，布置安全风险防控措施，提醒相关安全注意事项。班前会的记录要规范、完整。（3</w:t>
      </w:r>
      <w:r>
        <w:rPr>
          <w:rFonts w:ascii="宋体" w:hAnsi="宋体" w:cs="宋体"/>
        </w:rPr>
        <w:t>）</w:t>
      </w:r>
      <w:r>
        <w:rPr>
          <w:rFonts w:hint="eastAsia" w:ascii="宋体" w:hAnsi="宋体" w:cs="宋体"/>
        </w:rPr>
        <w:t>每天由班组长主持班后会，总结当班工作和安全情况，表扬好人好事，批评忽视安全、违章作业等不良现象。班后会的记录要规范、完整。（4</w:t>
      </w:r>
      <w:r>
        <w:rPr>
          <w:rFonts w:ascii="宋体" w:hAnsi="宋体" w:cs="宋体"/>
        </w:rPr>
        <w:t>）</w:t>
      </w:r>
      <w:r>
        <w:rPr>
          <w:rFonts w:hint="eastAsia" w:ascii="宋体" w:hAnsi="宋体" w:cs="宋体"/>
        </w:rPr>
        <w:t>每天作业前，工作负责人应按要求组织进行作业前的站班会，根据工作任务事先进行危险点分析，并向全体工作班成员进行安全技术交底。工作班成员都应该掌握对应的危险点和防范措施，在危险点分析预控措施票、现场风险看板中逐一签字。风险预控措施必须落实到具体作业人员。</w:t>
      </w:r>
    </w:p>
    <w:p w14:paraId="770014A1">
      <w:pPr>
        <w:pStyle w:val="6"/>
        <w:rPr>
          <w:rFonts w:ascii="宋体" w:hAnsi="宋体" w:cs="宋体"/>
          <w:highlight w:val="none"/>
        </w:rPr>
      </w:pPr>
      <w:r>
        <w:rPr>
          <w:rFonts w:hint="eastAsia" w:ascii="宋体" w:hAnsi="宋体" w:cs="宋体"/>
          <w:highlight w:val="none"/>
        </w:rPr>
        <w:t>隐患排查：（1）季节性安全大检查、隐患排查治理及各类专项检查，班组应将检查任务进行分解落实责任到人，各检查项目形成写实记录，对于涉及本班组整改责任的应及时安排整改，暂未能完成整改的应有计划。（2）按要求认真做好安全审核工作，提高人员现场作业的安全意识。（3）班组长应利用安全活动等机会，对上级布置的各类安全专项检查工作</w:t>
      </w:r>
      <w:r>
        <w:rPr>
          <w:rFonts w:hint="eastAsia" w:ascii="宋体" w:hAnsi="宋体" w:cs="宋体"/>
          <w:highlight w:val="none"/>
          <w:lang w:val="en-US" w:eastAsia="zh-CN"/>
        </w:rPr>
        <w:t>及时安排</w:t>
      </w:r>
      <w:r>
        <w:rPr>
          <w:rFonts w:hint="eastAsia" w:ascii="宋体" w:hAnsi="宋体" w:cs="宋体"/>
          <w:highlight w:val="none"/>
        </w:rPr>
        <w:t>，组织学习上级工作要求，对班组员工进行动员，并做好记录。</w:t>
      </w:r>
    </w:p>
    <w:p w14:paraId="279D5C13">
      <w:pPr>
        <w:pStyle w:val="6"/>
        <w:rPr>
          <w:rFonts w:ascii="宋体" w:hAnsi="宋体" w:cs="宋体"/>
        </w:rPr>
      </w:pPr>
      <w:r>
        <w:rPr>
          <w:rFonts w:hint="eastAsia" w:ascii="宋体" w:hAnsi="宋体" w:cs="宋体"/>
        </w:rPr>
        <w:t>事故管理：（1）发生不安全</w:t>
      </w:r>
      <w:r>
        <w:rPr>
          <w:rFonts w:hint="eastAsia" w:ascii="宋体" w:hAnsi="宋体" w:cs="宋体"/>
          <w:lang w:val="en-US" w:eastAsia="zh-CN"/>
        </w:rPr>
        <w:t>事件</w:t>
      </w:r>
      <w:r>
        <w:rPr>
          <w:rFonts w:hint="eastAsia" w:ascii="宋体" w:hAnsi="宋体" w:cs="宋体"/>
        </w:rPr>
        <w:t>，应及时向项目部、主管部门及安监部汇报。（2）班组应建立不安全事件记录簿，对发生的不安全事件（含违章），根据四不放过的原则，及时将经过描述、原因分析、防范措施、整改情况及对责任人的处罚情况记录在案。</w:t>
      </w:r>
    </w:p>
    <w:p w14:paraId="3FAE2B3D">
      <w:pPr>
        <w:pStyle w:val="6"/>
        <w:rPr>
          <w:rFonts w:ascii="宋体" w:hAnsi="宋体" w:cs="宋体"/>
        </w:rPr>
      </w:pPr>
      <w:r>
        <w:rPr>
          <w:rFonts w:hint="eastAsia" w:ascii="宋体" w:hAnsi="宋体" w:cs="宋体"/>
        </w:rPr>
        <w:t>工器具：（1）班组使用的安全用具、电动工器具、起重机具必须有清单，设立专人管理且必须按要求定期进行检查或检验合格。（2）将检查或检验的情况进行记录备案。（3）各类工器具上应贴有检验合格标签。</w:t>
      </w:r>
    </w:p>
    <w:p w14:paraId="13287F09">
      <w:pPr>
        <w:pStyle w:val="6"/>
        <w:rPr>
          <w:rFonts w:ascii="宋体" w:hAnsi="宋体" w:cs="宋体"/>
        </w:rPr>
      </w:pPr>
      <w:r>
        <w:rPr>
          <w:rFonts w:hint="eastAsia" w:ascii="宋体" w:hAnsi="宋体" w:cs="宋体"/>
        </w:rPr>
        <w:t>设备管理：（1）设备台</w:t>
      </w:r>
      <w:r>
        <w:rPr>
          <w:rFonts w:hint="eastAsia" w:ascii="宋体" w:hAnsi="宋体" w:cs="宋体"/>
          <w:lang w:val="en-US" w:eastAsia="zh-CN"/>
        </w:rPr>
        <w:t>账</w:t>
      </w:r>
      <w:r>
        <w:rPr>
          <w:rFonts w:hint="eastAsia" w:ascii="宋体" w:hAnsi="宋体" w:cs="宋体"/>
        </w:rPr>
        <w:t>、技术档案、图纸等资料整洁、齐全、完整，各种原始记录数据真实、准确、连续完整，字迹工整、清晰。设备异动记录齐全，闭环及时。检修台账及时记录。计划检修中严格执行文件包管理制度，文件包执行后及时汇总登录。（2）班组所辖设备落实到岗到人，设备分工及保洁有明细表且要上墙；设备主人有巡检记录。（3）设备管理缺陷不应重复发生。（4）能认真执行检修设备主人巡查和定期维护，并且记录清楚完整。</w:t>
      </w:r>
    </w:p>
    <w:p w14:paraId="0145A1FA">
      <w:pPr>
        <w:pStyle w:val="6"/>
        <w:rPr>
          <w:rFonts w:ascii="宋体" w:hAnsi="宋体" w:cs="宋体"/>
        </w:rPr>
      </w:pPr>
      <w:r>
        <w:rPr>
          <w:rFonts w:hint="eastAsia" w:ascii="宋体" w:hAnsi="宋体" w:cs="宋体"/>
        </w:rPr>
        <w:t>台账管理：（1）配备以下安全生产的记录簿：设备缺陷记录、设备台帐、设备系统图、主要设备装配图、检修技术记录、不安全情况记录、安全活动记录、生产培训考核记录、保护和自动装置定期试验记录；各项记录内容应完整、准确、及时，图册符合设备系统实际情况。（</w:t>
      </w:r>
      <w:r>
        <w:rPr>
          <w:rFonts w:ascii="宋体" w:hAnsi="宋体" w:cs="宋体"/>
        </w:rPr>
        <w:t>2</w:t>
      </w:r>
      <w:r>
        <w:rPr>
          <w:rFonts w:hint="eastAsia" w:ascii="宋体" w:hAnsi="宋体" w:cs="宋体"/>
        </w:rPr>
        <w:t>）其他台</w:t>
      </w:r>
      <w:r>
        <w:rPr>
          <w:rFonts w:hint="eastAsia" w:ascii="宋体" w:hAnsi="宋体" w:cs="宋体"/>
          <w:lang w:val="en-US" w:eastAsia="zh-CN"/>
        </w:rPr>
        <w:t>账</w:t>
      </w:r>
      <w:r>
        <w:rPr>
          <w:rFonts w:hint="eastAsia" w:ascii="宋体" w:hAnsi="宋体" w:cs="宋体"/>
        </w:rPr>
        <w:t>、记录本可根据需要设置。</w:t>
      </w:r>
    </w:p>
    <w:p w14:paraId="339FA50C">
      <w:pPr>
        <w:pStyle w:val="6"/>
        <w:rPr>
          <w:rFonts w:ascii="宋体" w:hAnsi="宋体" w:cs="宋体"/>
        </w:rPr>
      </w:pPr>
      <w:r>
        <w:rPr>
          <w:rFonts w:hint="eastAsia" w:ascii="宋体" w:hAnsi="宋体" w:cs="宋体"/>
        </w:rPr>
        <w:t>工作响应和质量：（1）做好现场设备的维护工作，确保现场设备完好，能在突发事件发生后，能立刻采取行动积极配合处理，及时消除现场的隐患或重大缺陷。（2）在设备检修工作中，按期完成检修工作，质量把关严格，不出现重复返工的情况。</w:t>
      </w:r>
    </w:p>
    <w:p w14:paraId="2AC46D89">
      <w:pPr>
        <w:pStyle w:val="6"/>
        <w:rPr>
          <w:rFonts w:ascii="宋体" w:hAnsi="宋体" w:cs="宋体"/>
        </w:rPr>
      </w:pPr>
      <w:r>
        <w:rPr>
          <w:rFonts w:hint="eastAsia" w:ascii="宋体" w:hAnsi="宋体" w:cs="宋体"/>
        </w:rPr>
        <w:t>文明生产：（1）现场作业场地应进行有效隔离，工具、材料等应定置管理。（2）工作暂告一段落，工作班成员应清扫整理现场，工作终结后应做到“工完料尽场地清”。（3）及时消除设备缺陷和泄漏，并做到工完料尽场地清，使班组管辖的生产现场达到“四无”（无积尘、无积油、无积水、无污染环境现象）。</w:t>
      </w:r>
    </w:p>
    <w:p w14:paraId="58434F9E">
      <w:pPr>
        <w:pStyle w:val="6"/>
      </w:pPr>
      <w:r>
        <w:rPr>
          <w:rFonts w:hint="eastAsia"/>
        </w:rPr>
        <w:t>班组管理：（1）班组定置管理图必须上墙。（2）材料、备品备件摆放规范整齐，区分用与不用，并有专人负责管理。（3）资料柜内文件摆放整齐、有序。（4）班组应制定卫生值日规定，每日对班组环境卫生进行打扫，班容班貌整洁，员工的办公桌面清洁，物品摆放整齐，不堆放个人物品。（5）班组人员不得出现打架斗殴，遵守招标人禁烟规定。</w:t>
      </w:r>
    </w:p>
    <w:p w14:paraId="0041D34C">
      <w:pPr>
        <w:pStyle w:val="5"/>
      </w:pPr>
      <w:r>
        <w:rPr>
          <w:rFonts w:hint="eastAsia"/>
        </w:rPr>
        <w:t>质量要求</w:t>
      </w:r>
    </w:p>
    <w:p w14:paraId="07533870">
      <w:pPr>
        <w:pStyle w:val="6"/>
      </w:pPr>
      <w:r>
        <w:rPr>
          <w:rFonts w:hint="eastAsia"/>
        </w:rPr>
        <w:t>质量目标</w:t>
      </w:r>
    </w:p>
    <w:p w14:paraId="0A167F1C">
      <w:pPr>
        <w:pStyle w:val="7"/>
      </w:pPr>
      <w:r>
        <w:rPr>
          <w:rFonts w:hint="eastAsia"/>
        </w:rPr>
        <w:t>确保本</w:t>
      </w:r>
      <w:r>
        <w:rPr>
          <w:rFonts w:hint="eastAsia"/>
          <w:lang w:val="en-US" w:eastAsia="zh-CN"/>
        </w:rPr>
        <w:t>招</w:t>
      </w:r>
      <w:r>
        <w:rPr>
          <w:rFonts w:hint="eastAsia"/>
        </w:rPr>
        <w:t>标范围设备的正常生产，主辅设备无影响机组正常运行方式和正常运行参数的设备缺陷。</w:t>
      </w:r>
    </w:p>
    <w:p w14:paraId="1D23269F">
      <w:pPr>
        <w:pStyle w:val="7"/>
      </w:pPr>
      <w:r>
        <w:rPr>
          <w:rFonts w:hint="eastAsia"/>
        </w:rPr>
        <w:t>主辅设备无安全隐患。</w:t>
      </w:r>
    </w:p>
    <w:p w14:paraId="4744524F">
      <w:pPr>
        <w:pStyle w:val="7"/>
      </w:pPr>
      <w:r>
        <w:rPr>
          <w:rFonts w:hint="eastAsia"/>
        </w:rPr>
        <w:t>无24小时不可消除的一般性缺陷，设备消缺率100%、设备消缺及时率100%（因运行工况不许可或缺少备件除外），设备缺陷重复发生率≤0.5%。</w:t>
      </w:r>
    </w:p>
    <w:p w14:paraId="6566F0F5">
      <w:pPr>
        <w:pStyle w:val="7"/>
      </w:pPr>
      <w:r>
        <w:rPr>
          <w:rFonts w:hint="eastAsia"/>
        </w:rPr>
        <w:t>整套机组达到无渗漏标准。</w:t>
      </w:r>
    </w:p>
    <w:p w14:paraId="257AE243">
      <w:pPr>
        <w:pStyle w:val="7"/>
      </w:pPr>
      <w:r>
        <w:rPr>
          <w:rFonts w:hint="eastAsia"/>
        </w:rPr>
        <w:t>设备修后性能参数达到或优于验收标准，质量验收一次合格率≥98%，一次试运合格率≥98%，修后三个月内无缺陷发生，无检修质量问题引起的非停或降负荷。</w:t>
      </w:r>
    </w:p>
    <w:p w14:paraId="3BCABE2A">
      <w:pPr>
        <w:pStyle w:val="6"/>
      </w:pPr>
      <w:r>
        <w:rPr>
          <w:rFonts w:hint="eastAsia"/>
        </w:rPr>
        <w:t>投标人负责维修的机组、设备必须达到《电力建设施工、验收及质量验评标准汇编》、招标人《检修规程》和《风险管控及检修文件包》等的质量标准。设备试验和校验必须满足国家及行业的相关规程、规定和技术标准的要求。</w:t>
      </w:r>
    </w:p>
    <w:p w14:paraId="79A1FC56">
      <w:pPr>
        <w:pStyle w:val="6"/>
      </w:pPr>
      <w:r>
        <w:rPr>
          <w:rFonts w:hint="eastAsia"/>
        </w:rPr>
        <w:t>投标人必须有最基本维修质量措施，如ISO9000</w:t>
      </w:r>
      <w:r>
        <w:rPr>
          <w:rFonts w:hint="eastAsia"/>
          <w:lang w:val="en-US" w:eastAsia="zh-CN"/>
        </w:rPr>
        <w:t>及以上</w:t>
      </w:r>
      <w:r>
        <w:rPr>
          <w:rFonts w:hint="eastAsia"/>
        </w:rPr>
        <w:t>质量体系，技改方案整体措施等，符合招标人有关质量标准的规定。</w:t>
      </w:r>
    </w:p>
    <w:p w14:paraId="47E1455F">
      <w:pPr>
        <w:pStyle w:val="5"/>
      </w:pPr>
      <w:r>
        <w:rPr>
          <w:rFonts w:hint="eastAsia"/>
        </w:rPr>
        <w:t>安全文明要求</w:t>
      </w:r>
    </w:p>
    <w:p w14:paraId="3692D195">
      <w:pPr>
        <w:pStyle w:val="6"/>
      </w:pPr>
      <w:r>
        <w:rPr>
          <w:rFonts w:hint="eastAsia"/>
        </w:rPr>
        <w:t>安全文明目标</w:t>
      </w:r>
    </w:p>
    <w:p w14:paraId="6814C76A">
      <w:pPr>
        <w:pStyle w:val="7"/>
      </w:pPr>
      <w:r>
        <w:rPr>
          <w:rFonts w:hint="eastAsia"/>
        </w:rPr>
        <w:t>不发生人身轻伤及以上事件。</w:t>
      </w:r>
    </w:p>
    <w:p w14:paraId="35F8A3C9">
      <w:pPr>
        <w:pStyle w:val="7"/>
      </w:pPr>
      <w:r>
        <w:rPr>
          <w:rFonts w:hint="eastAsia"/>
        </w:rPr>
        <w:t>不发生设备损坏事故。</w:t>
      </w:r>
    </w:p>
    <w:p w14:paraId="3F59530B">
      <w:pPr>
        <w:pStyle w:val="7"/>
      </w:pPr>
      <w:r>
        <w:rPr>
          <w:rFonts w:hint="eastAsia"/>
        </w:rPr>
        <w:t>不发生</w:t>
      </w:r>
      <w:r>
        <w:rPr>
          <w:rFonts w:hint="eastAsia"/>
          <w:lang w:val="en-US" w:eastAsia="zh-CN"/>
        </w:rPr>
        <w:t>主要</w:t>
      </w:r>
      <w:r>
        <w:rPr>
          <w:rFonts w:hint="eastAsia"/>
        </w:rPr>
        <w:t>交通</w:t>
      </w:r>
      <w:r>
        <w:rPr>
          <w:rFonts w:hint="eastAsia"/>
          <w:lang w:val="en-US" w:eastAsia="zh-CN"/>
        </w:rPr>
        <w:t>责任</w:t>
      </w:r>
      <w:r>
        <w:rPr>
          <w:rFonts w:hint="eastAsia"/>
        </w:rPr>
        <w:t>事故</w:t>
      </w:r>
      <w:r>
        <w:rPr>
          <w:rFonts w:hint="eastAsia"/>
          <w:lang w:eastAsia="zh-CN"/>
        </w:rPr>
        <w:t>（</w:t>
      </w:r>
      <w:r>
        <w:rPr>
          <w:rFonts w:hint="eastAsia"/>
          <w:lang w:val="en-US" w:eastAsia="zh-CN"/>
        </w:rPr>
        <w:t>以公安机关出具依据为准</w:t>
      </w:r>
      <w:r>
        <w:rPr>
          <w:rFonts w:hint="eastAsia"/>
          <w:lang w:eastAsia="zh-CN"/>
        </w:rPr>
        <w:t>）</w:t>
      </w:r>
      <w:r>
        <w:rPr>
          <w:rFonts w:hint="eastAsia"/>
        </w:rPr>
        <w:t>。</w:t>
      </w:r>
    </w:p>
    <w:p w14:paraId="3079D065">
      <w:pPr>
        <w:pStyle w:val="7"/>
      </w:pPr>
      <w:r>
        <w:rPr>
          <w:rFonts w:hint="eastAsia"/>
        </w:rPr>
        <w:t>不发生火灾事件。</w:t>
      </w:r>
    </w:p>
    <w:p w14:paraId="0A1858E5">
      <w:pPr>
        <w:pStyle w:val="7"/>
      </w:pPr>
      <w:r>
        <w:rPr>
          <w:rFonts w:hint="eastAsia"/>
        </w:rPr>
        <w:t>不发生环境污染事件。</w:t>
      </w:r>
    </w:p>
    <w:p w14:paraId="6CA81032">
      <w:pPr>
        <w:pStyle w:val="7"/>
      </w:pPr>
      <w:r>
        <w:rPr>
          <w:rFonts w:hint="eastAsia"/>
        </w:rPr>
        <w:t>工作票合格率达到100%。</w:t>
      </w:r>
    </w:p>
    <w:p w14:paraId="65AE9E70">
      <w:pPr>
        <w:pStyle w:val="7"/>
      </w:pPr>
      <w:r>
        <w:rPr>
          <w:rFonts w:hint="eastAsia"/>
        </w:rPr>
        <w:t>招标人下达的整改措施完成率达到100%。</w:t>
      </w:r>
    </w:p>
    <w:p w14:paraId="3717BBC3">
      <w:pPr>
        <w:pStyle w:val="7"/>
      </w:pPr>
      <w:r>
        <w:rPr>
          <w:rFonts w:hint="eastAsia"/>
        </w:rPr>
        <w:t>不发生人为和管理责任的二</w:t>
      </w:r>
      <w:r>
        <w:rPr>
          <w:rFonts w:hint="eastAsia"/>
          <w:lang w:val="en-US" w:eastAsia="zh-CN"/>
        </w:rPr>
        <w:t>类障碍</w:t>
      </w:r>
      <w:r>
        <w:rPr>
          <w:rFonts w:hint="eastAsia"/>
        </w:rPr>
        <w:t>及以上不安全事件。</w:t>
      </w:r>
    </w:p>
    <w:p w14:paraId="36FF749D">
      <w:pPr>
        <w:pStyle w:val="7"/>
      </w:pPr>
      <w:r>
        <w:rPr>
          <w:rFonts w:hint="eastAsia"/>
        </w:rPr>
        <w:t>人身未遂0次、异常控制指标5次/台</w:t>
      </w:r>
      <w:r>
        <w:rPr>
          <w:rFonts w:hint="eastAsia"/>
          <w:lang w:val="en-US" w:eastAsia="zh-CN"/>
        </w:rPr>
        <w:t>.</w:t>
      </w:r>
      <w:r>
        <w:rPr>
          <w:rFonts w:hint="eastAsia"/>
        </w:rPr>
        <w:t>年。</w:t>
      </w:r>
    </w:p>
    <w:p w14:paraId="721BB183">
      <w:pPr>
        <w:pStyle w:val="7"/>
      </w:pPr>
      <w:r>
        <w:rPr>
          <w:rFonts w:hint="eastAsia"/>
        </w:rPr>
        <w:t>不发生职业性II级以上听力下降；不发生职业性I期以上尘肺病；不发生职业急性中暑现象。</w:t>
      </w:r>
    </w:p>
    <w:p w14:paraId="260C5CE4">
      <w:pPr>
        <w:pStyle w:val="7"/>
      </w:pPr>
      <w:r>
        <w:rPr>
          <w:rFonts w:hint="eastAsia"/>
        </w:rPr>
        <w:t>作业场所粉尘合格率100％；毒物作业场所合格率100％；杜绝粉尘、毒物II级以上的危害作业；杜绝高温、体力劳动强度IV级以上作业；杜绝噪音III级以上的危害作业。</w:t>
      </w:r>
    </w:p>
    <w:p w14:paraId="302C3CDB">
      <w:pPr>
        <w:pStyle w:val="7"/>
      </w:pPr>
      <w:r>
        <w:rPr>
          <w:rFonts w:hint="eastAsia"/>
        </w:rPr>
        <w:t>不发生职业中毒事故。</w:t>
      </w:r>
    </w:p>
    <w:p w14:paraId="50A85834">
      <w:pPr>
        <w:pStyle w:val="7"/>
      </w:pPr>
      <w:r>
        <w:rPr>
          <w:rFonts w:hint="eastAsia"/>
        </w:rPr>
        <w:t>安全环保工作完成率100%（特种设备操作人员、特种作业人员持证上岗率，三级安全教育培训完成率，安全环保隐患闭环整改率，安全环保设施完好率，安全环保设施定期检验监测率等）。</w:t>
      </w:r>
    </w:p>
    <w:p w14:paraId="0B182A29">
      <w:pPr>
        <w:pStyle w:val="6"/>
      </w:pPr>
      <w:r>
        <w:rPr>
          <w:rFonts w:hint="eastAsia"/>
        </w:rPr>
        <w:t>安全</w:t>
      </w:r>
      <w:r>
        <w:t>文明管理</w:t>
      </w:r>
    </w:p>
    <w:p w14:paraId="39F0810D">
      <w:pPr>
        <w:pStyle w:val="7"/>
      </w:pPr>
      <w:r>
        <w:rPr>
          <w:rFonts w:hint="eastAsia"/>
        </w:rPr>
        <w:t>按</w:t>
      </w:r>
      <w:r>
        <w:t>招标方安全学习</w:t>
      </w:r>
      <w:r>
        <w:rPr>
          <w:rFonts w:hint="eastAsia"/>
        </w:rPr>
        <w:t>要求</w:t>
      </w:r>
      <w:r>
        <w:t>，定期组织学习《</w:t>
      </w:r>
      <w:r>
        <w:rPr>
          <w:rFonts w:hint="eastAsia"/>
        </w:rPr>
        <w:t>安全</w:t>
      </w:r>
      <w:r>
        <w:t>生产法》</w:t>
      </w:r>
      <w:r>
        <w:rPr>
          <w:rFonts w:hint="eastAsia"/>
        </w:rPr>
        <w:t>，《电力</w:t>
      </w:r>
      <w:r>
        <w:t>安全工作</w:t>
      </w:r>
      <w:r>
        <w:rPr>
          <w:rFonts w:hint="eastAsia"/>
        </w:rPr>
        <w:t>规程</w:t>
      </w:r>
      <w:r>
        <w:t>》</w:t>
      </w:r>
      <w:r>
        <w:rPr>
          <w:rFonts w:hint="eastAsia"/>
        </w:rPr>
        <w:t>和</w:t>
      </w:r>
      <w:r>
        <w:t>招标方</w:t>
      </w:r>
      <w:r>
        <w:rPr>
          <w:rFonts w:hint="eastAsia"/>
        </w:rPr>
        <w:t>安全</w:t>
      </w:r>
      <w:r>
        <w:t>生产管理制度</w:t>
      </w:r>
      <w:r>
        <w:rPr>
          <w:rFonts w:hint="eastAsia"/>
        </w:rPr>
        <w:t>。</w:t>
      </w:r>
    </w:p>
    <w:p w14:paraId="5E02BADE">
      <w:pPr>
        <w:pStyle w:val="7"/>
      </w:pPr>
      <w:r>
        <w:t>组织学习事故案例，举一反三开展隐患排查治理。</w:t>
      </w:r>
    </w:p>
    <w:p w14:paraId="059E74A1">
      <w:pPr>
        <w:pStyle w:val="7"/>
      </w:pPr>
      <w:r>
        <w:rPr>
          <w:rFonts w:hint="eastAsia"/>
        </w:rPr>
        <w:t>结合近年事故教训，结合实际，健全监管机制，按照登高作业“十不准”、起重作业“十不吊”、焊接动火作业“十不焊”、个人作业“十不站”、受限空间“五必须”等要求，加强反违章管理。</w:t>
      </w:r>
    </w:p>
    <w:p w14:paraId="2C4F2F40">
      <w:pPr>
        <w:pStyle w:val="7"/>
      </w:pPr>
      <w:r>
        <w:rPr>
          <w:rFonts w:hint="eastAsia"/>
        </w:rPr>
        <w:t>制作或者购买足够数量的安全防护设施、安全用具、气瓶运输工具等设施，用硬件设施规避员工现场作业不安全行为，建立现场安全作业文化。</w:t>
      </w:r>
    </w:p>
    <w:p w14:paraId="158ABD4A">
      <w:pPr>
        <w:pStyle w:val="7"/>
      </w:pPr>
      <w:r>
        <w:rPr>
          <w:rFonts w:hint="eastAsia"/>
        </w:rPr>
        <w:t>定期对员工隐患排查和反违章等开展月度评比工作，对落实较好的员工，在月度评比中要进行奖励。对评比中处于最后一名的员工，要进行相应的</w:t>
      </w:r>
      <w:r>
        <w:rPr>
          <w:rFonts w:hint="eastAsia"/>
          <w:lang w:val="en-US" w:eastAsia="zh-CN"/>
        </w:rPr>
        <w:t>考核</w:t>
      </w:r>
      <w:r>
        <w:rPr>
          <w:rFonts w:hint="eastAsia"/>
        </w:rPr>
        <w:t>或</w:t>
      </w:r>
      <w:r>
        <w:rPr>
          <w:rFonts w:hint="eastAsia"/>
          <w:lang w:val="en-US" w:eastAsia="zh-CN"/>
        </w:rPr>
        <w:t>另行指派</w:t>
      </w:r>
      <w:r>
        <w:rPr>
          <w:rFonts w:hint="eastAsia"/>
        </w:rPr>
        <w:t>。</w:t>
      </w:r>
    </w:p>
    <w:p w14:paraId="6921EFBA">
      <w:pPr>
        <w:pStyle w:val="6"/>
      </w:pPr>
      <w:r>
        <w:rPr>
          <w:rFonts w:hint="eastAsia"/>
        </w:rPr>
        <w:t>维保作业要求</w:t>
      </w:r>
    </w:p>
    <w:p w14:paraId="117AAB22">
      <w:pPr>
        <w:pStyle w:val="7"/>
      </w:pPr>
      <w:r>
        <w:rPr>
          <w:rFonts w:hint="eastAsia"/>
        </w:rPr>
        <w:t>遵守</w:t>
      </w:r>
      <w:r>
        <w:t>《</w:t>
      </w:r>
      <w:r>
        <w:rPr>
          <w:rFonts w:hint="eastAsia"/>
        </w:rPr>
        <w:t>安全</w:t>
      </w:r>
      <w:r>
        <w:t>生产法》</w:t>
      </w:r>
      <w:r>
        <w:rPr>
          <w:rFonts w:hint="eastAsia"/>
        </w:rPr>
        <w:t>，严格</w:t>
      </w:r>
      <w:r>
        <w:t>执行</w:t>
      </w:r>
      <w:r>
        <w:rPr>
          <w:rFonts w:hint="eastAsia"/>
        </w:rPr>
        <w:t>《电力</w:t>
      </w:r>
      <w:r>
        <w:t>安全工作</w:t>
      </w:r>
      <w:r>
        <w:rPr>
          <w:rFonts w:hint="eastAsia"/>
        </w:rPr>
        <w:t>规程</w:t>
      </w:r>
      <w:r>
        <w:t>》</w:t>
      </w:r>
      <w:r>
        <w:rPr>
          <w:rFonts w:hint="eastAsia"/>
        </w:rPr>
        <w:t>和</w:t>
      </w:r>
      <w:r>
        <w:t>招标方</w:t>
      </w:r>
      <w:r>
        <w:rPr>
          <w:rFonts w:hint="eastAsia"/>
        </w:rPr>
        <w:t>安全</w:t>
      </w:r>
      <w:r>
        <w:t>生产管理制度</w:t>
      </w:r>
      <w:r>
        <w:rPr>
          <w:rFonts w:hint="eastAsia"/>
        </w:rPr>
        <w:t>。</w:t>
      </w:r>
    </w:p>
    <w:p w14:paraId="570504D6">
      <w:pPr>
        <w:pStyle w:val="7"/>
      </w:pPr>
      <w:r>
        <w:rPr>
          <w:rFonts w:hint="eastAsia"/>
        </w:rPr>
        <w:t>不得1人单独作业，加强工作监护，严防人身意外事故发生。</w:t>
      </w:r>
    </w:p>
    <w:p w14:paraId="7B90C6D9">
      <w:pPr>
        <w:pStyle w:val="7"/>
      </w:pPr>
      <w:r>
        <w:rPr>
          <w:rFonts w:hint="eastAsia"/>
        </w:rPr>
        <w:t>并负责所管辖范围内的设备、系统、工作场所的文明卫生工作，做到所维护检修机组无泄漏、设备见本色（无积灰、积垢、积油、积水、无杂物）。</w:t>
      </w:r>
    </w:p>
    <w:p w14:paraId="434F5503">
      <w:pPr>
        <w:pStyle w:val="7"/>
      </w:pPr>
      <w:r>
        <w:rPr>
          <w:rFonts w:hint="eastAsia"/>
        </w:rPr>
        <w:t>检修区域应设置围栏或者警戒线，挂警示牌和标志牌，</w:t>
      </w:r>
      <w:r>
        <w:t>按招标方要求做好地面铺垫</w:t>
      </w:r>
      <w:r>
        <w:rPr>
          <w:rFonts w:hint="eastAsia"/>
        </w:rPr>
        <w:t>。</w:t>
      </w:r>
    </w:p>
    <w:p w14:paraId="70F5F31E">
      <w:pPr>
        <w:pStyle w:val="7"/>
      </w:pPr>
      <w:r>
        <w:rPr>
          <w:rFonts w:hint="eastAsia"/>
        </w:rPr>
        <w:t>对所辖范围内所有工作场所及班组进行定置管理。</w:t>
      </w:r>
    </w:p>
    <w:p w14:paraId="211866D8">
      <w:pPr>
        <w:pStyle w:val="7"/>
      </w:pPr>
      <w:r>
        <w:rPr>
          <w:rFonts w:hint="eastAsia"/>
        </w:rPr>
        <w:t>工作人员进入现场应统一着装，统一安全帽颜色，安全帽编号、员工姓名应标识醒目。</w:t>
      </w:r>
    </w:p>
    <w:p w14:paraId="72DAFA32">
      <w:pPr>
        <w:pStyle w:val="7"/>
      </w:pPr>
      <w:r>
        <w:rPr>
          <w:rFonts w:hint="eastAsia"/>
        </w:rPr>
        <w:t>开工前，必须对检修作业全过程进行危险点分析，查找检修过程可能存的危险点，对本项作业的安全风险分析与控制措施制订补充安全措施，并在工作中严格执行。</w:t>
      </w:r>
    </w:p>
    <w:p w14:paraId="4FCBB6D0">
      <w:pPr>
        <w:pStyle w:val="7"/>
      </w:pPr>
      <w:r>
        <w:rPr>
          <w:rFonts w:hint="eastAsia"/>
        </w:rPr>
        <w:t>开工前工作负责人要向工作组全体成员进行安全技术交底，告知工作地点存在的危险因素和安全注意事项，并履行确认签字手续。检修人员应采取的措施。</w:t>
      </w:r>
    </w:p>
    <w:p w14:paraId="18AA5C55">
      <w:pPr>
        <w:pStyle w:val="7"/>
      </w:pPr>
      <w:r>
        <w:rPr>
          <w:rFonts w:hint="eastAsia"/>
        </w:rPr>
        <w:t>检修（维护）工作完成后，设备铭牌、标牌、编号、转动方向标示齐全、清晰。</w:t>
      </w:r>
    </w:p>
    <w:p w14:paraId="39DD2837">
      <w:pPr>
        <w:pStyle w:val="7"/>
      </w:pPr>
      <w:r>
        <w:rPr>
          <w:rFonts w:hint="eastAsia"/>
        </w:rPr>
        <w:t>严格实行垃圾分类，按招标人要求倾倒在相应制定场所。</w:t>
      </w:r>
    </w:p>
    <w:p w14:paraId="18210989">
      <w:pPr>
        <w:pStyle w:val="7"/>
      </w:pPr>
      <w:r>
        <w:rPr>
          <w:rFonts w:hint="eastAsia"/>
        </w:rPr>
        <w:t>工作结束后的棉纱、保温材料等易燃易爆废弃物要合理处置，检修工作中要随时预防发生严重污染环境的事故，检修工作中要随时预防发生严重污染环境的事故。</w:t>
      </w:r>
    </w:p>
    <w:p w14:paraId="6A3ECB2B">
      <w:pPr>
        <w:pStyle w:val="7"/>
      </w:pPr>
      <w:r>
        <w:rPr>
          <w:rFonts w:hint="eastAsia"/>
        </w:rPr>
        <w:t>投标人不得随意在设备、结构、墙板、楼道上开孔或焊接临时结构，必要时须提出书面申请，经招标人的生产管理部门批准后方可实施。</w:t>
      </w:r>
    </w:p>
    <w:p w14:paraId="2FFC6689">
      <w:pPr>
        <w:pStyle w:val="7"/>
      </w:pPr>
      <w:r>
        <w:rPr>
          <w:rFonts w:hint="eastAsia"/>
        </w:rPr>
        <w:t>现场应配备充足的各类安全设施（安全标志牌、临时防护围栏、临时提示遮拦、地面</w:t>
      </w:r>
      <w:r>
        <w:t>铺垫材料</w:t>
      </w:r>
      <w:r>
        <w:rPr>
          <w:rFonts w:hint="eastAsia"/>
        </w:rPr>
        <w:t>等）。</w:t>
      </w:r>
    </w:p>
    <w:p w14:paraId="69E8875E">
      <w:pPr>
        <w:pStyle w:val="7"/>
      </w:pPr>
      <w:r>
        <w:rPr>
          <w:rFonts w:hint="eastAsia"/>
        </w:rPr>
        <w:t>做好防止二次污染措施，凡油系统有工作，必须在地面铺上塑料布，再在上面铺一层胶皮，防止油等液体渗漏到地面。</w:t>
      </w:r>
    </w:p>
    <w:p w14:paraId="64CB4425">
      <w:pPr>
        <w:pStyle w:val="5"/>
      </w:pPr>
      <w:r>
        <w:rPr>
          <w:rFonts w:hint="eastAsia"/>
        </w:rPr>
        <w:t>劳动纪律要求</w:t>
      </w:r>
    </w:p>
    <w:p w14:paraId="171562F0">
      <w:pPr>
        <w:pStyle w:val="6"/>
      </w:pPr>
      <w:r>
        <w:rPr>
          <w:rFonts w:hint="eastAsia"/>
        </w:rPr>
        <w:t>投标人人员应在招标人安排的场所上班、值班、办公。</w:t>
      </w:r>
    </w:p>
    <w:p w14:paraId="00FF2490">
      <w:pPr>
        <w:pStyle w:val="6"/>
      </w:pPr>
      <w:r>
        <w:rPr>
          <w:rFonts w:hint="eastAsia"/>
        </w:rPr>
        <w:t>投标人人员服从招标人管理，自觉遵守招标人单位和部门的规章制度。</w:t>
      </w:r>
    </w:p>
    <w:p w14:paraId="1F77850E">
      <w:pPr>
        <w:pStyle w:val="6"/>
      </w:pPr>
      <w:r>
        <w:rPr>
          <w:rFonts w:hint="eastAsia"/>
        </w:rPr>
        <w:t>投标人须制定详细的劳动纪律考核细则，招标人监督实施情况。</w:t>
      </w:r>
    </w:p>
    <w:p w14:paraId="3BB90B10">
      <w:pPr>
        <w:pStyle w:val="6"/>
      </w:pPr>
      <w:r>
        <w:rPr>
          <w:rFonts w:hint="eastAsia"/>
        </w:rPr>
        <w:t>投标人人员应严格按招标人要求按时上下班，自觉接受招标人考勤，不得迟到、不早退等。</w:t>
      </w:r>
    </w:p>
    <w:p w14:paraId="55E31F95">
      <w:pPr>
        <w:pStyle w:val="6"/>
      </w:pPr>
      <w:r>
        <w:rPr>
          <w:rFonts w:hint="eastAsia"/>
        </w:rPr>
        <w:t>投标人人员应严格履行请假、销假制度，不得旷工等。</w:t>
      </w:r>
    </w:p>
    <w:p w14:paraId="51FBAD95">
      <w:pPr>
        <w:pStyle w:val="6"/>
      </w:pPr>
      <w:r>
        <w:rPr>
          <w:rFonts w:hint="eastAsia"/>
        </w:rPr>
        <w:t>投标人人员如果出现脱岗、离岗、睡觉、酒后闹事、寻衅滋事、不服管理、打架、斗殴、盗窃、破坏电力生产设备、系统、公共财产等事件者，招标人将严肃处理，不服从处理者，要求投标人退回原单位，情节严重者交当地公安机关处理，并重新更换合格人员。</w:t>
      </w:r>
    </w:p>
    <w:p w14:paraId="7ABA9484">
      <w:pPr>
        <w:pStyle w:val="6"/>
      </w:pPr>
      <w:r>
        <w:rPr>
          <w:rFonts w:hint="eastAsia"/>
        </w:rPr>
        <w:t>招标人管理人员定期或不定期到现场检查，发现问题及时向投标人负责人提出考核意见。</w:t>
      </w:r>
    </w:p>
    <w:p w14:paraId="05BD457B">
      <w:pPr>
        <w:pStyle w:val="6"/>
      </w:pPr>
      <w:r>
        <w:rPr>
          <w:rFonts w:hint="eastAsia"/>
        </w:rPr>
        <w:t>管理人员和主要技术人员必须保证在现场时间不少于合同期的90%。</w:t>
      </w:r>
    </w:p>
    <w:p w14:paraId="302E2E5A">
      <w:pPr>
        <w:pStyle w:val="6"/>
      </w:pPr>
      <w:r>
        <w:rPr>
          <w:rFonts w:hint="eastAsia"/>
        </w:rPr>
        <w:t>现场日常检修人员</w:t>
      </w:r>
      <w:r>
        <w:rPr>
          <w:rFonts w:hint="eastAsia"/>
          <w:lang w:val="en-US" w:eastAsia="zh-CN"/>
        </w:rPr>
        <w:t>应安排</w:t>
      </w:r>
      <w:r>
        <w:rPr>
          <w:rFonts w:hint="eastAsia"/>
        </w:rPr>
        <w:t>24小时值班，投标人应安排夜间巡视值班人员，值班人员在现场巡视或于检修楼办公室待命，值班人员接到设备缺陷通知后必须带上相应工具并在1</w:t>
      </w:r>
      <w:r>
        <w:rPr>
          <w:rFonts w:hint="eastAsia"/>
          <w:lang w:val="en-US" w:eastAsia="zh-CN"/>
        </w:rPr>
        <w:t>0</w:t>
      </w:r>
      <w:r>
        <w:rPr>
          <w:rFonts w:hint="eastAsia"/>
        </w:rPr>
        <w:t>分钟到达消缺现场。</w:t>
      </w:r>
    </w:p>
    <w:p w14:paraId="7B5BDB4F">
      <w:pPr>
        <w:pStyle w:val="6"/>
      </w:pPr>
      <w:r>
        <w:rPr>
          <w:rFonts w:hint="eastAsia"/>
        </w:rPr>
        <w:t>遇机组启动、重要试验、紧急消缺、抢险时，投标人人员应按要求在集控室待命。</w:t>
      </w:r>
    </w:p>
    <w:p w14:paraId="692F49B2">
      <w:pPr>
        <w:pStyle w:val="6"/>
      </w:pPr>
      <w:r>
        <w:rPr>
          <w:rFonts w:hint="eastAsia"/>
        </w:rPr>
        <w:t>化学运行辅助工交接班应严格执行《交接班制度》。</w:t>
      </w:r>
    </w:p>
    <w:p w14:paraId="688BDFB1">
      <w:pPr>
        <w:pStyle w:val="4"/>
      </w:pPr>
      <w:bookmarkStart w:id="11" w:name="_Toc10337"/>
      <w:r>
        <w:rPr>
          <w:rFonts w:hint="eastAsia"/>
        </w:rPr>
        <w:t>责任及义务</w:t>
      </w:r>
      <w:bookmarkEnd w:id="11"/>
    </w:p>
    <w:p w14:paraId="30890901">
      <w:pPr>
        <w:pStyle w:val="5"/>
      </w:pPr>
      <w:r>
        <w:rPr>
          <w:rFonts w:hint="eastAsia"/>
        </w:rPr>
        <w:t>招标人的责任及义务</w:t>
      </w:r>
    </w:p>
    <w:p w14:paraId="1301E313">
      <w:pPr>
        <w:pStyle w:val="6"/>
      </w:pPr>
      <w:r>
        <w:t>提供</w:t>
      </w:r>
      <w:r>
        <w:rPr>
          <w:rFonts w:hint="eastAsia"/>
        </w:rPr>
        <w:t>设备厂家提供的专用工器具、仪器、现场</w:t>
      </w:r>
      <w:r>
        <w:t>安装</w:t>
      </w:r>
      <w:r>
        <w:rPr>
          <w:rFonts w:hint="eastAsia"/>
        </w:rPr>
        <w:t>的起重机。</w:t>
      </w:r>
    </w:p>
    <w:p w14:paraId="10402A7E">
      <w:pPr>
        <w:pStyle w:val="6"/>
      </w:pPr>
      <w:r>
        <w:t>提供设备、设备备件、生产工艺用材料</w:t>
      </w:r>
      <w:r>
        <w:rPr>
          <w:rFonts w:hint="eastAsia"/>
        </w:rPr>
        <w:t>、</w:t>
      </w:r>
      <w:r>
        <w:t>装置性材料。</w:t>
      </w:r>
    </w:p>
    <w:p w14:paraId="161CF2E9">
      <w:pPr>
        <w:pStyle w:val="6"/>
      </w:pPr>
      <w:r>
        <w:rPr>
          <w:rFonts w:hint="eastAsia"/>
        </w:rPr>
        <w:t>参加投标人的安全学习，监督、考核投标人安全文明卫生及设备管理。</w:t>
      </w:r>
    </w:p>
    <w:p w14:paraId="3380F8A0">
      <w:pPr>
        <w:pStyle w:val="6"/>
      </w:pPr>
      <w:r>
        <w:rPr>
          <w:rFonts w:hint="eastAsia"/>
        </w:rPr>
        <w:t>监督、检查投标人考勤、奖罚落实情况，有权要求投标人更正不合理的考勤、奖罚实施情况。</w:t>
      </w:r>
    </w:p>
    <w:p w14:paraId="3B4E214F">
      <w:pPr>
        <w:pStyle w:val="6"/>
      </w:pPr>
      <w:r>
        <w:rPr>
          <w:rFonts w:hint="eastAsia"/>
        </w:rPr>
        <w:t>组织检查、考评投标人对现场设备的清洁、维护、班组建设、管理等。</w:t>
      </w:r>
    </w:p>
    <w:p w14:paraId="0B6B5198">
      <w:pPr>
        <w:pStyle w:val="6"/>
      </w:pPr>
      <w:r>
        <w:rPr>
          <w:rFonts w:hint="eastAsia"/>
        </w:rPr>
        <w:t>审核投标人上岗人员岗位规范、工作标准、人员资质及投标人内部管理制度。</w:t>
      </w:r>
    </w:p>
    <w:p w14:paraId="6B2B0ADC">
      <w:pPr>
        <w:pStyle w:val="6"/>
      </w:pPr>
      <w:r>
        <w:rPr>
          <w:rFonts w:hint="eastAsia"/>
        </w:rPr>
        <w:t>负责向投标人提供委托范围内工作所需的技术资料（包括设备安装、调试所需的技术资料、图纸、规程等）和安生</w:t>
      </w:r>
      <w:r>
        <w:t>生产管理</w:t>
      </w:r>
      <w:r>
        <w:rPr>
          <w:rFonts w:hint="eastAsia"/>
        </w:rPr>
        <w:t>规章制度。投标人不能在未得到招标人批准的情况下，让第三者使用或向第三方转让。</w:t>
      </w:r>
    </w:p>
    <w:p w14:paraId="5E6F6ED4">
      <w:pPr>
        <w:pStyle w:val="6"/>
      </w:pPr>
      <w:r>
        <w:rPr>
          <w:rFonts w:hint="eastAsia"/>
        </w:rPr>
        <w:t>负责对投标人维护和检修的质量、安全管理、文明卫生、检修现场的设备及材料保卫工作进行指导、监督、检查、验收、考核。</w:t>
      </w:r>
    </w:p>
    <w:p w14:paraId="4751C50F">
      <w:pPr>
        <w:pStyle w:val="6"/>
      </w:pPr>
      <w:r>
        <w:rPr>
          <w:rFonts w:hint="eastAsia"/>
        </w:rPr>
        <w:t>审核和批准投标人的年度、月度计划、维护工作计划、检修计划（含工艺卡）、技术方案、安全措施、技术总结和材料（备件）需求计划。主持研究辅助系统重大技术问题及技术改造方案。审核批准投标人编制的各项规程、手册、制度和表册。</w:t>
      </w:r>
    </w:p>
    <w:p w14:paraId="5E02EE44">
      <w:pPr>
        <w:pStyle w:val="6"/>
      </w:pPr>
      <w:r>
        <w:rPr>
          <w:rFonts w:hint="eastAsia"/>
        </w:rPr>
        <w:t>对投标人工作人员按电力行业现行有关规定考核，要求投标人无条件更换招标人认为不称职的人员。</w:t>
      </w:r>
    </w:p>
    <w:p w14:paraId="6E7E18D7">
      <w:pPr>
        <w:pStyle w:val="6"/>
      </w:pPr>
      <w:r>
        <w:rPr>
          <w:rFonts w:hint="eastAsia"/>
        </w:rPr>
        <w:t>检查投标人的班组管理工作，检查班组台帐（设备台帐、安全台帐、班组建设台帐、班长日志等）。</w:t>
      </w:r>
    </w:p>
    <w:p w14:paraId="63336559">
      <w:pPr>
        <w:pStyle w:val="6"/>
      </w:pPr>
      <w:r>
        <w:rPr>
          <w:rFonts w:hint="eastAsia"/>
        </w:rPr>
        <w:t>负责审定并签发工作票、动火票、措施票。</w:t>
      </w:r>
    </w:p>
    <w:p w14:paraId="4669CC6E">
      <w:pPr>
        <w:pStyle w:val="6"/>
      </w:pPr>
      <w:r>
        <w:rPr>
          <w:rFonts w:hint="eastAsia"/>
        </w:rPr>
        <w:t>负责不安全事件（如人身轻伤、二类障碍及以上不安全事故）的调查分析和考核。</w:t>
      </w:r>
    </w:p>
    <w:p w14:paraId="1CC4C0DE">
      <w:pPr>
        <w:pStyle w:val="6"/>
      </w:pPr>
      <w:r>
        <w:rPr>
          <w:rFonts w:hint="eastAsia"/>
        </w:rPr>
        <w:t>负责提供现场办公场所，不提供办公用具。</w:t>
      </w:r>
    </w:p>
    <w:p w14:paraId="1A256350">
      <w:pPr>
        <w:pStyle w:val="6"/>
      </w:pPr>
      <w:r>
        <w:rPr>
          <w:rFonts w:hint="eastAsia"/>
        </w:rPr>
        <w:t>负责对招标人进行考评，考评结果作为结算费用的依据。</w:t>
      </w:r>
    </w:p>
    <w:p w14:paraId="7AD9CD9C">
      <w:pPr>
        <w:pStyle w:val="5"/>
      </w:pPr>
      <w:r>
        <w:rPr>
          <w:rFonts w:hint="eastAsia"/>
        </w:rPr>
        <w:t>投标人的责任及义务</w:t>
      </w:r>
    </w:p>
    <w:p w14:paraId="34DDE252">
      <w:pPr>
        <w:pStyle w:val="58"/>
        <w:numPr>
          <w:ilvl w:val="0"/>
          <w:numId w:val="2"/>
        </w:numPr>
        <w:tabs>
          <w:tab w:val="left" w:pos="840"/>
          <w:tab w:val="left" w:pos="1050"/>
        </w:tabs>
        <w:spacing w:line="360" w:lineRule="auto"/>
        <w:ind w:left="0" w:firstLine="480"/>
        <w:rPr>
          <w:rFonts w:ascii="宋体" w:hAnsi="宋体" w:cs="宋体"/>
          <w:sz w:val="24"/>
        </w:rPr>
      </w:pPr>
      <w:r>
        <w:rPr>
          <w:rFonts w:hint="eastAsia" w:ascii="宋体" w:hAnsi="宋体" w:cs="宋体"/>
          <w:sz w:val="24"/>
        </w:rPr>
        <w:t>投标人中标后，全体人员须在</w:t>
      </w:r>
      <w:r>
        <w:rPr>
          <w:rFonts w:hint="eastAsia" w:ascii="宋体" w:hAnsi="宋体" w:cs="宋体"/>
          <w:sz w:val="24"/>
          <w:highlight w:val="none"/>
          <w:lang w:val="en-US" w:eastAsia="zh-CN"/>
        </w:rPr>
        <w:t xml:space="preserve">    </w:t>
      </w:r>
      <w:r>
        <w:rPr>
          <w:rFonts w:hint="eastAsia" w:ascii="宋体" w:hAnsi="宋体" w:cs="宋体"/>
          <w:sz w:val="24"/>
          <w:highlight w:val="none"/>
        </w:rPr>
        <w:t>年 月 日</w:t>
      </w:r>
      <w:r>
        <w:rPr>
          <w:rFonts w:hint="eastAsia" w:ascii="宋体" w:hAnsi="宋体" w:cs="宋体"/>
          <w:sz w:val="24"/>
        </w:rPr>
        <w:t>前进场。</w:t>
      </w:r>
    </w:p>
    <w:p w14:paraId="5988EFF0">
      <w:pPr>
        <w:pStyle w:val="58"/>
        <w:numPr>
          <w:ilvl w:val="0"/>
          <w:numId w:val="2"/>
        </w:numPr>
        <w:tabs>
          <w:tab w:val="left" w:pos="840"/>
          <w:tab w:val="left" w:pos="1050"/>
        </w:tabs>
        <w:spacing w:line="360" w:lineRule="auto"/>
        <w:ind w:left="0" w:firstLine="480"/>
        <w:rPr>
          <w:rFonts w:ascii="宋体" w:hAnsi="宋体" w:cs="宋体"/>
          <w:sz w:val="24"/>
        </w:rPr>
      </w:pPr>
      <w:r>
        <w:rPr>
          <w:rFonts w:hint="eastAsia" w:ascii="宋体" w:hAnsi="宋体" w:cs="宋体"/>
          <w:sz w:val="24"/>
        </w:rPr>
        <w:t>检修</w:t>
      </w:r>
      <w:r>
        <w:rPr>
          <w:rFonts w:ascii="宋体" w:hAnsi="宋体" w:cs="宋体"/>
          <w:sz w:val="24"/>
        </w:rPr>
        <w:t>维护所需的</w:t>
      </w:r>
      <w:r>
        <w:rPr>
          <w:rFonts w:hint="eastAsia" w:ascii="宋体" w:hAnsi="宋体" w:cs="宋体"/>
          <w:sz w:val="24"/>
        </w:rPr>
        <w:t>车辆</w:t>
      </w:r>
      <w:r>
        <w:rPr>
          <w:rFonts w:ascii="宋体" w:hAnsi="宋体" w:cs="宋体"/>
          <w:sz w:val="24"/>
        </w:rPr>
        <w:t>、机具、工器具由投标人</w:t>
      </w:r>
      <w:r>
        <w:rPr>
          <w:rFonts w:hint="eastAsia" w:ascii="宋体" w:hAnsi="宋体" w:cs="宋体"/>
          <w:sz w:val="24"/>
        </w:rPr>
        <w:t>负责</w:t>
      </w:r>
      <w:r>
        <w:rPr>
          <w:rFonts w:ascii="宋体" w:hAnsi="宋体" w:cs="宋体"/>
          <w:sz w:val="24"/>
        </w:rPr>
        <w:t>。</w:t>
      </w:r>
    </w:p>
    <w:p w14:paraId="58CD5C0F">
      <w:pPr>
        <w:pStyle w:val="58"/>
        <w:numPr>
          <w:ilvl w:val="0"/>
          <w:numId w:val="2"/>
        </w:numPr>
        <w:tabs>
          <w:tab w:val="left" w:pos="840"/>
          <w:tab w:val="left" w:pos="1050"/>
        </w:tabs>
        <w:spacing w:line="360" w:lineRule="auto"/>
        <w:ind w:left="0" w:firstLine="480"/>
        <w:rPr>
          <w:rFonts w:ascii="宋体" w:hAnsi="宋体" w:cs="宋体"/>
          <w:sz w:val="24"/>
        </w:rPr>
      </w:pPr>
      <w:r>
        <w:rPr>
          <w:rFonts w:hint="eastAsia" w:ascii="宋体" w:hAnsi="宋体" w:cs="宋体"/>
          <w:sz w:val="24"/>
        </w:rPr>
        <w:t>投标人</w:t>
      </w:r>
      <w:r>
        <w:rPr>
          <w:rFonts w:ascii="宋体" w:hAnsi="宋体" w:cs="宋体"/>
          <w:sz w:val="24"/>
        </w:rPr>
        <w:t>负责提供维护所需的</w:t>
      </w:r>
      <w:r>
        <w:rPr>
          <w:rFonts w:hint="eastAsia" w:ascii="宋体" w:hAnsi="宋体" w:cs="宋体"/>
          <w:sz w:val="24"/>
        </w:rPr>
        <w:t>非</w:t>
      </w:r>
      <w:r>
        <w:rPr>
          <w:rFonts w:ascii="宋体" w:hAnsi="宋体" w:cs="宋体"/>
          <w:sz w:val="24"/>
        </w:rPr>
        <w:t>装置性</w:t>
      </w:r>
      <w:r>
        <w:rPr>
          <w:rFonts w:hint="eastAsia" w:ascii="宋体" w:hAnsi="宋体" w:cs="宋体"/>
          <w:sz w:val="24"/>
        </w:rPr>
        <w:t>消耗</w:t>
      </w:r>
      <w:r>
        <w:rPr>
          <w:rFonts w:ascii="宋体" w:hAnsi="宋体" w:cs="宋体"/>
          <w:sz w:val="24"/>
        </w:rPr>
        <w:t>性材料。</w:t>
      </w:r>
    </w:p>
    <w:p w14:paraId="2B584DA6">
      <w:pPr>
        <w:pStyle w:val="58"/>
        <w:numPr>
          <w:ilvl w:val="0"/>
          <w:numId w:val="2"/>
        </w:numPr>
        <w:tabs>
          <w:tab w:val="left" w:pos="840"/>
          <w:tab w:val="left" w:pos="1050"/>
        </w:tabs>
        <w:spacing w:line="360" w:lineRule="auto"/>
        <w:ind w:left="0" w:firstLine="480"/>
        <w:rPr>
          <w:rFonts w:ascii="宋体" w:hAnsi="宋体" w:cs="宋体"/>
          <w:sz w:val="24"/>
        </w:rPr>
      </w:pPr>
      <w:r>
        <w:rPr>
          <w:rFonts w:hint="eastAsia" w:ascii="宋体" w:hAnsi="宋体" w:cs="宋体"/>
          <w:sz w:val="24"/>
        </w:rPr>
        <w:t>投标人须确保人员稳定，不改变岗位配置结构，不调离各岗位人员。</w:t>
      </w:r>
    </w:p>
    <w:p w14:paraId="0897DD80">
      <w:pPr>
        <w:pStyle w:val="58"/>
        <w:numPr>
          <w:ilvl w:val="0"/>
          <w:numId w:val="2"/>
        </w:numPr>
        <w:tabs>
          <w:tab w:val="left" w:pos="840"/>
          <w:tab w:val="left" w:pos="1050"/>
        </w:tabs>
        <w:spacing w:line="360" w:lineRule="auto"/>
        <w:ind w:left="0" w:firstLine="480"/>
        <w:rPr>
          <w:rFonts w:ascii="宋体" w:hAnsi="宋体" w:cs="宋体"/>
          <w:sz w:val="24"/>
        </w:rPr>
      </w:pPr>
      <w:r>
        <w:rPr>
          <w:rFonts w:hint="eastAsia" w:ascii="宋体" w:hAnsi="宋体" w:cs="宋体"/>
          <w:sz w:val="24"/>
        </w:rPr>
        <w:t>投标人须确保本单位人员统一的符合安全生产标准的工作服、安全帽等，工作服及安全帽保证七成新，且在合格期内。</w:t>
      </w:r>
    </w:p>
    <w:p w14:paraId="4A68F61F">
      <w:pPr>
        <w:pStyle w:val="58"/>
        <w:numPr>
          <w:ilvl w:val="0"/>
          <w:numId w:val="2"/>
        </w:numPr>
        <w:tabs>
          <w:tab w:val="left" w:pos="840"/>
          <w:tab w:val="left" w:pos="1050"/>
        </w:tabs>
        <w:spacing w:line="360" w:lineRule="auto"/>
        <w:ind w:left="0" w:firstLine="480"/>
        <w:rPr>
          <w:rFonts w:ascii="宋体" w:hAnsi="宋体" w:cs="宋体"/>
          <w:sz w:val="24"/>
        </w:rPr>
      </w:pPr>
      <w:r>
        <w:rPr>
          <w:rFonts w:hint="eastAsia" w:ascii="宋体" w:hAnsi="宋体" w:cs="宋体"/>
          <w:sz w:val="24"/>
        </w:rPr>
        <w:t>投标人按规定为本单位人员配置和设置符合安全及劳动保护、职业健康规定的工器具及用品，在作业现场提供并设置必要的安全防护设施。</w:t>
      </w:r>
    </w:p>
    <w:p w14:paraId="579C5DBD">
      <w:pPr>
        <w:pStyle w:val="58"/>
        <w:numPr>
          <w:ilvl w:val="0"/>
          <w:numId w:val="2"/>
        </w:numPr>
        <w:tabs>
          <w:tab w:val="left" w:pos="840"/>
          <w:tab w:val="left" w:pos="1050"/>
        </w:tabs>
        <w:spacing w:line="360" w:lineRule="auto"/>
        <w:ind w:left="0" w:firstLine="480"/>
        <w:rPr>
          <w:rFonts w:ascii="宋体" w:hAnsi="宋体" w:cs="宋体"/>
          <w:sz w:val="24"/>
        </w:rPr>
      </w:pPr>
      <w:r>
        <w:rPr>
          <w:rFonts w:hint="eastAsia" w:ascii="宋体" w:hAnsi="宋体" w:cs="宋体"/>
          <w:sz w:val="24"/>
        </w:rPr>
        <w:t>投标人负责提供维保人员的交通等人员安置相关费用。</w:t>
      </w:r>
    </w:p>
    <w:p w14:paraId="18CDEC46">
      <w:pPr>
        <w:pStyle w:val="58"/>
        <w:numPr>
          <w:ilvl w:val="0"/>
          <w:numId w:val="2"/>
        </w:numPr>
        <w:tabs>
          <w:tab w:val="left" w:pos="840"/>
          <w:tab w:val="left" w:pos="1050"/>
        </w:tabs>
        <w:spacing w:line="360" w:lineRule="auto"/>
        <w:ind w:left="0" w:firstLine="480"/>
        <w:rPr>
          <w:rFonts w:ascii="宋体" w:hAnsi="宋体" w:cs="宋体"/>
          <w:sz w:val="24"/>
        </w:rPr>
      </w:pPr>
      <w:r>
        <w:rPr>
          <w:rFonts w:hint="eastAsia" w:ascii="宋体" w:hAnsi="宋体" w:cs="宋体"/>
          <w:sz w:val="24"/>
        </w:rPr>
        <w:t>投标人人员进入招标人现场，应提前三天提供相关资料，接收招标人安全培训和教育，办理入厂出入证件。</w:t>
      </w:r>
    </w:p>
    <w:p w14:paraId="7F669785">
      <w:pPr>
        <w:pStyle w:val="58"/>
        <w:numPr>
          <w:ilvl w:val="0"/>
          <w:numId w:val="2"/>
        </w:numPr>
        <w:tabs>
          <w:tab w:val="left" w:pos="840"/>
          <w:tab w:val="left" w:pos="1050"/>
        </w:tabs>
        <w:spacing w:line="360" w:lineRule="auto"/>
        <w:ind w:left="0" w:firstLine="480"/>
        <w:rPr>
          <w:rFonts w:ascii="宋体" w:hAnsi="宋体" w:cs="宋体"/>
          <w:sz w:val="24"/>
        </w:rPr>
      </w:pPr>
      <w:r>
        <w:rPr>
          <w:rFonts w:hint="eastAsia" w:ascii="宋体" w:hAnsi="宋体" w:cs="宋体"/>
          <w:sz w:val="24"/>
        </w:rPr>
        <w:t>投标人积极支持招标人考核和处理违反招标人厂、部规章制度、工作要求或本规范的人员和行为。对招标人认定不能履行岗位要求的投标人人员，投标人须在3日内更换为招标人认可的人员。</w:t>
      </w:r>
    </w:p>
    <w:p w14:paraId="0BD1A492">
      <w:pPr>
        <w:pStyle w:val="58"/>
        <w:numPr>
          <w:ilvl w:val="0"/>
          <w:numId w:val="2"/>
        </w:numPr>
        <w:tabs>
          <w:tab w:val="left" w:pos="840"/>
          <w:tab w:val="left" w:pos="1050"/>
        </w:tabs>
        <w:spacing w:line="360" w:lineRule="auto"/>
        <w:ind w:left="0" w:firstLine="480"/>
        <w:rPr>
          <w:rFonts w:ascii="宋体" w:hAnsi="宋体" w:cs="宋体"/>
          <w:sz w:val="24"/>
        </w:rPr>
      </w:pPr>
      <w:r>
        <w:rPr>
          <w:rFonts w:hint="eastAsia" w:ascii="宋体" w:hAnsi="宋体" w:cs="宋体"/>
          <w:sz w:val="24"/>
        </w:rPr>
        <w:t>投标人作为临时检修及日常维护单位，纳入招标人生产管理序列，自觉遵守招标人生产调度、安全文明、生产管理、安全保卫、物资材料管理等各项管理制度，服从和直接接受招标人</w:t>
      </w:r>
      <w:r>
        <w:rPr>
          <w:rFonts w:hint="eastAsia" w:ascii="宋体" w:hAnsi="宋体" w:cs="宋体"/>
          <w:sz w:val="24"/>
          <w:lang w:val="en-US" w:eastAsia="zh-CN"/>
        </w:rPr>
        <w:t>生产运行</w:t>
      </w:r>
      <w:r>
        <w:rPr>
          <w:rFonts w:hint="eastAsia" w:ascii="宋体" w:hAnsi="宋体" w:cs="宋体"/>
          <w:sz w:val="24"/>
        </w:rPr>
        <w:t>部日常监督、指导和管理，并接受检查和考核。投标人必须按照招标人的管理系统及管理模式，建立完善质量保证体系、安全监督和安全保证体系、应急预案管理体系。</w:t>
      </w:r>
    </w:p>
    <w:p w14:paraId="7B393FCC">
      <w:pPr>
        <w:pStyle w:val="58"/>
        <w:numPr>
          <w:ilvl w:val="0"/>
          <w:numId w:val="2"/>
        </w:numPr>
        <w:tabs>
          <w:tab w:val="left" w:pos="840"/>
          <w:tab w:val="left" w:pos="1050"/>
        </w:tabs>
        <w:spacing w:line="360" w:lineRule="auto"/>
        <w:ind w:left="0" w:firstLine="480"/>
        <w:rPr>
          <w:rFonts w:ascii="宋体" w:hAnsi="宋体" w:cs="宋体"/>
          <w:sz w:val="24"/>
        </w:rPr>
      </w:pPr>
      <w:r>
        <w:rPr>
          <w:rFonts w:hint="eastAsia" w:ascii="宋体" w:hAnsi="宋体" w:cs="宋体"/>
          <w:sz w:val="24"/>
        </w:rPr>
        <w:t>负责员工（含因工作需要所使用的临时工，以下相同）的安全管理和安全教育，严格按规程、规范工作，承担因违规所造成事故的全部责任。</w:t>
      </w:r>
    </w:p>
    <w:p w14:paraId="1C5151F4">
      <w:pPr>
        <w:pStyle w:val="58"/>
        <w:numPr>
          <w:ilvl w:val="0"/>
          <w:numId w:val="2"/>
        </w:numPr>
        <w:tabs>
          <w:tab w:val="left" w:pos="840"/>
          <w:tab w:val="left" w:pos="1050"/>
        </w:tabs>
        <w:spacing w:line="360" w:lineRule="auto"/>
        <w:ind w:left="0" w:firstLine="480"/>
        <w:rPr>
          <w:rFonts w:ascii="宋体" w:hAnsi="宋体" w:cs="宋体"/>
          <w:sz w:val="24"/>
        </w:rPr>
      </w:pPr>
      <w:r>
        <w:rPr>
          <w:rFonts w:hint="eastAsia" w:ascii="宋体" w:hAnsi="宋体" w:cs="宋体"/>
          <w:sz w:val="24"/>
        </w:rPr>
        <w:t>合理组织人员，建立员工档案（包括姓名、性别、年龄、身份证号码、住址、工种、职称证、技能等级证、上岗证、工作年限等），报招标人</w:t>
      </w:r>
      <w:r>
        <w:rPr>
          <w:rFonts w:hint="eastAsia" w:ascii="宋体" w:hAnsi="宋体" w:cs="宋体"/>
          <w:sz w:val="24"/>
          <w:lang w:val="en-US" w:eastAsia="zh-CN"/>
        </w:rPr>
        <w:t>生产运行部</w:t>
      </w:r>
      <w:r>
        <w:rPr>
          <w:rFonts w:hint="eastAsia" w:ascii="宋体" w:hAnsi="宋体" w:cs="宋体"/>
          <w:sz w:val="24"/>
        </w:rPr>
        <w:t>备案。负责健全机构和制度，确定负责人和专职安全员。</w:t>
      </w:r>
    </w:p>
    <w:p w14:paraId="169F8C04">
      <w:pPr>
        <w:pStyle w:val="58"/>
        <w:numPr>
          <w:ilvl w:val="0"/>
          <w:numId w:val="2"/>
        </w:numPr>
        <w:tabs>
          <w:tab w:val="left" w:pos="840"/>
          <w:tab w:val="left" w:pos="1050"/>
        </w:tabs>
        <w:spacing w:line="360" w:lineRule="auto"/>
        <w:ind w:left="0" w:firstLine="480"/>
        <w:rPr>
          <w:rFonts w:ascii="宋体" w:hAnsi="宋体" w:cs="宋体"/>
          <w:sz w:val="24"/>
        </w:rPr>
      </w:pPr>
      <w:r>
        <w:rPr>
          <w:rFonts w:hint="eastAsia" w:ascii="宋体" w:hAnsi="宋体" w:cs="宋体"/>
          <w:sz w:val="24"/>
        </w:rPr>
        <w:t>负责上岗人员安全与技术培训，做到持证上岗。</w:t>
      </w:r>
    </w:p>
    <w:p w14:paraId="518082F7">
      <w:pPr>
        <w:pStyle w:val="58"/>
        <w:numPr>
          <w:ilvl w:val="0"/>
          <w:numId w:val="2"/>
        </w:numPr>
        <w:tabs>
          <w:tab w:val="left" w:pos="840"/>
          <w:tab w:val="left" w:pos="1050"/>
        </w:tabs>
        <w:spacing w:line="360" w:lineRule="auto"/>
        <w:ind w:left="0" w:firstLine="480"/>
        <w:rPr>
          <w:rFonts w:ascii="宋体" w:hAnsi="宋体" w:cs="宋体"/>
          <w:sz w:val="24"/>
        </w:rPr>
      </w:pPr>
      <w:r>
        <w:rPr>
          <w:rFonts w:hint="eastAsia" w:ascii="宋体" w:hAnsi="宋体" w:cs="宋体"/>
          <w:sz w:val="24"/>
        </w:rPr>
        <w:t>负责办理工作票、动火票（同时对临时来厂检修单位办理工作票、动火票，对其检修全过程进行监护）。</w:t>
      </w:r>
    </w:p>
    <w:p w14:paraId="1CAF86C0">
      <w:pPr>
        <w:pStyle w:val="58"/>
        <w:numPr>
          <w:ilvl w:val="0"/>
          <w:numId w:val="2"/>
        </w:numPr>
        <w:tabs>
          <w:tab w:val="left" w:pos="840"/>
          <w:tab w:val="left" w:pos="1050"/>
        </w:tabs>
        <w:spacing w:line="360" w:lineRule="auto"/>
        <w:ind w:left="0" w:firstLine="480"/>
        <w:rPr>
          <w:rFonts w:ascii="宋体" w:hAnsi="宋体" w:cs="宋体"/>
          <w:sz w:val="24"/>
        </w:rPr>
      </w:pPr>
      <w:r>
        <w:rPr>
          <w:rFonts w:hint="eastAsia" w:ascii="宋体" w:hAnsi="宋体" w:cs="宋体"/>
          <w:sz w:val="24"/>
        </w:rPr>
        <w:t>按技术规范约定，做好所辖范围内系统及设备的日常维护和检修工作（包括事故抢修及临修），按设备缺陷分类管理规定的时间进行检修工作。</w:t>
      </w:r>
    </w:p>
    <w:p w14:paraId="13DC4CCA">
      <w:pPr>
        <w:pStyle w:val="58"/>
        <w:numPr>
          <w:ilvl w:val="0"/>
          <w:numId w:val="2"/>
        </w:numPr>
        <w:tabs>
          <w:tab w:val="left" w:pos="840"/>
          <w:tab w:val="left" w:pos="1050"/>
        </w:tabs>
        <w:spacing w:line="360" w:lineRule="auto"/>
        <w:ind w:left="0" w:firstLine="480"/>
        <w:rPr>
          <w:rFonts w:ascii="宋体" w:hAnsi="宋体" w:cs="宋体"/>
          <w:sz w:val="24"/>
        </w:rPr>
      </w:pPr>
      <w:r>
        <w:rPr>
          <w:rFonts w:hint="eastAsia" w:ascii="宋体" w:hAnsi="宋体" w:cs="宋体"/>
          <w:sz w:val="24"/>
          <w:highlight w:val="none"/>
        </w:rPr>
        <w:t>定期（每天不少于</w:t>
      </w:r>
      <w:r>
        <w:rPr>
          <w:rFonts w:hint="eastAsia" w:ascii="宋体" w:hAnsi="宋体" w:cs="宋体"/>
          <w:sz w:val="24"/>
          <w:highlight w:val="none"/>
          <w:lang w:val="en-US" w:eastAsia="zh-CN"/>
        </w:rPr>
        <w:t>1</w:t>
      </w:r>
      <w:r>
        <w:rPr>
          <w:rFonts w:hint="eastAsia" w:ascii="宋体" w:hAnsi="宋体" w:cs="宋体"/>
          <w:sz w:val="24"/>
          <w:highlight w:val="none"/>
        </w:rPr>
        <w:t>次）</w:t>
      </w:r>
      <w:r>
        <w:rPr>
          <w:rFonts w:hint="eastAsia" w:ascii="宋体" w:hAnsi="宋体" w:cs="宋体"/>
          <w:sz w:val="24"/>
        </w:rPr>
        <w:t>检查系统及设备，发现问题及时处理，做好日志记录、设备缺陷记录、消缺记录、建立台帐等管理工作，并提出设备（系统）改进建议，实行缺陷闭环管理。</w:t>
      </w:r>
    </w:p>
    <w:p w14:paraId="75A5AA4C">
      <w:pPr>
        <w:pStyle w:val="58"/>
        <w:numPr>
          <w:ilvl w:val="0"/>
          <w:numId w:val="2"/>
        </w:numPr>
        <w:tabs>
          <w:tab w:val="left" w:pos="840"/>
          <w:tab w:val="left" w:pos="1050"/>
        </w:tabs>
        <w:spacing w:line="360" w:lineRule="auto"/>
        <w:ind w:left="0" w:firstLine="480"/>
        <w:rPr>
          <w:rFonts w:ascii="宋体" w:hAnsi="宋体" w:cs="宋体"/>
          <w:sz w:val="24"/>
        </w:rPr>
      </w:pPr>
      <w:r>
        <w:rPr>
          <w:rFonts w:hint="eastAsia" w:ascii="宋体" w:hAnsi="宋体" w:cs="宋体"/>
          <w:sz w:val="24"/>
        </w:rPr>
        <w:t>实行周工作计划制度，每周五下班前将下周计划及本周工作完成情况报</w:t>
      </w:r>
      <w:r>
        <w:rPr>
          <w:rFonts w:hint="eastAsia" w:ascii="宋体" w:hAnsi="宋体" w:cs="宋体"/>
          <w:sz w:val="24"/>
          <w:lang w:val="en-US" w:eastAsia="zh-CN"/>
        </w:rPr>
        <w:t>招标方生产运行</w:t>
      </w:r>
      <w:r>
        <w:rPr>
          <w:rFonts w:hint="eastAsia" w:ascii="宋体" w:hAnsi="宋体" w:cs="宋体"/>
          <w:sz w:val="24"/>
        </w:rPr>
        <w:t>部。</w:t>
      </w:r>
    </w:p>
    <w:p w14:paraId="604AB729">
      <w:pPr>
        <w:pStyle w:val="58"/>
        <w:numPr>
          <w:ilvl w:val="0"/>
          <w:numId w:val="2"/>
        </w:numPr>
        <w:tabs>
          <w:tab w:val="left" w:pos="840"/>
          <w:tab w:val="left" w:pos="1050"/>
        </w:tabs>
        <w:spacing w:line="360" w:lineRule="auto"/>
        <w:ind w:left="0" w:firstLine="480"/>
        <w:rPr>
          <w:rFonts w:ascii="宋体" w:hAnsi="宋体" w:cs="宋体"/>
          <w:sz w:val="24"/>
        </w:rPr>
      </w:pPr>
      <w:r>
        <w:rPr>
          <w:rFonts w:hint="eastAsia" w:ascii="宋体" w:hAnsi="宋体" w:cs="宋体"/>
          <w:sz w:val="24"/>
        </w:rPr>
        <w:t>每月25日前制定出下月工作计划，每月2日前完成上月的工作总结（包括安全部分），计划和总结必须以电子文档和纸质文档的形式上报</w:t>
      </w:r>
      <w:r>
        <w:rPr>
          <w:rFonts w:hint="eastAsia" w:ascii="宋体" w:hAnsi="宋体" w:cs="宋体"/>
          <w:sz w:val="24"/>
          <w:lang w:val="en-US" w:eastAsia="zh-CN"/>
        </w:rPr>
        <w:t>招标方生产运行部</w:t>
      </w:r>
      <w:r>
        <w:rPr>
          <w:rFonts w:hint="eastAsia" w:ascii="宋体" w:hAnsi="宋体" w:cs="宋体"/>
          <w:sz w:val="24"/>
        </w:rPr>
        <w:t>。</w:t>
      </w:r>
    </w:p>
    <w:p w14:paraId="1618A3B0">
      <w:pPr>
        <w:pStyle w:val="58"/>
        <w:numPr>
          <w:ilvl w:val="0"/>
          <w:numId w:val="2"/>
        </w:numPr>
        <w:tabs>
          <w:tab w:val="left" w:pos="840"/>
          <w:tab w:val="left" w:pos="1050"/>
        </w:tabs>
        <w:spacing w:line="360" w:lineRule="auto"/>
        <w:ind w:left="0" w:firstLine="480"/>
        <w:rPr>
          <w:rFonts w:ascii="宋体" w:hAnsi="宋体" w:cs="宋体"/>
          <w:sz w:val="24"/>
        </w:rPr>
      </w:pPr>
      <w:r>
        <w:rPr>
          <w:rFonts w:hint="eastAsia" w:ascii="宋体" w:hAnsi="宋体" w:cs="宋体"/>
          <w:sz w:val="24"/>
        </w:rPr>
        <w:t>项目负责人必须参加招标人组织的生产调度会、月度安全例会、各种安全、质量、文明施工检查及其它需要参加的会议或活动。</w:t>
      </w:r>
    </w:p>
    <w:p w14:paraId="168F5BA9">
      <w:pPr>
        <w:pStyle w:val="58"/>
        <w:numPr>
          <w:ilvl w:val="0"/>
          <w:numId w:val="2"/>
        </w:numPr>
        <w:tabs>
          <w:tab w:val="left" w:pos="840"/>
          <w:tab w:val="left" w:pos="1050"/>
        </w:tabs>
        <w:spacing w:line="360" w:lineRule="auto"/>
        <w:ind w:left="0" w:firstLine="480"/>
        <w:rPr>
          <w:rFonts w:ascii="宋体" w:hAnsi="宋体" w:cs="宋体"/>
          <w:sz w:val="24"/>
        </w:rPr>
      </w:pPr>
      <w:r>
        <w:rPr>
          <w:rFonts w:hint="eastAsia" w:ascii="宋体" w:hAnsi="宋体" w:cs="宋体"/>
          <w:sz w:val="24"/>
        </w:rPr>
        <w:t>开展每周一次的安全日活动，内容必须丰富（必须包含招标人指定的内容），必需100%覆盖，因工作或其他原因缺席人员，必需有补学记录，附人员签名。每周要开展隐患排查及反违章活动，并形成报告，提交</w:t>
      </w:r>
      <w:r>
        <w:rPr>
          <w:rFonts w:hint="eastAsia" w:ascii="宋体" w:hAnsi="宋体" w:cs="宋体"/>
          <w:sz w:val="24"/>
          <w:lang w:val="en-US" w:eastAsia="zh-CN"/>
        </w:rPr>
        <w:t>招标方生产运行部</w:t>
      </w:r>
      <w:r>
        <w:rPr>
          <w:rFonts w:hint="eastAsia" w:ascii="宋体" w:hAnsi="宋体" w:cs="宋体"/>
          <w:sz w:val="24"/>
        </w:rPr>
        <w:t>。</w:t>
      </w:r>
    </w:p>
    <w:p w14:paraId="12D8F1D7">
      <w:pPr>
        <w:pStyle w:val="58"/>
        <w:numPr>
          <w:ilvl w:val="0"/>
          <w:numId w:val="2"/>
        </w:numPr>
        <w:tabs>
          <w:tab w:val="left" w:pos="840"/>
          <w:tab w:val="left" w:pos="1050"/>
        </w:tabs>
        <w:spacing w:line="360" w:lineRule="auto"/>
        <w:ind w:left="0" w:firstLine="480"/>
        <w:rPr>
          <w:rFonts w:ascii="宋体" w:hAnsi="宋体" w:cs="宋体"/>
          <w:sz w:val="24"/>
        </w:rPr>
      </w:pPr>
      <w:r>
        <w:rPr>
          <w:rFonts w:hint="eastAsia" w:ascii="宋体" w:hAnsi="宋体" w:cs="宋体"/>
          <w:sz w:val="24"/>
        </w:rPr>
        <w:t>服从招标人生产检修办公自动化管理，自备办公用具。</w:t>
      </w:r>
    </w:p>
    <w:p w14:paraId="43AABB8E">
      <w:pPr>
        <w:pStyle w:val="58"/>
        <w:numPr>
          <w:ilvl w:val="0"/>
          <w:numId w:val="2"/>
        </w:numPr>
        <w:tabs>
          <w:tab w:val="left" w:pos="840"/>
          <w:tab w:val="left" w:pos="1050"/>
        </w:tabs>
        <w:spacing w:line="360" w:lineRule="auto"/>
        <w:ind w:left="0" w:firstLine="480"/>
        <w:rPr>
          <w:rFonts w:ascii="宋体" w:hAnsi="宋体" w:cs="宋体"/>
          <w:sz w:val="24"/>
        </w:rPr>
      </w:pPr>
      <w:r>
        <w:rPr>
          <w:rFonts w:hint="eastAsia" w:ascii="宋体" w:hAnsi="宋体" w:cs="宋体"/>
          <w:sz w:val="24"/>
        </w:rPr>
        <w:t>每月将上月消耗备品配件的规格、数量、使用地点，报送</w:t>
      </w:r>
      <w:r>
        <w:rPr>
          <w:rFonts w:hint="eastAsia" w:ascii="宋体" w:hAnsi="宋体" w:cs="宋体"/>
          <w:sz w:val="24"/>
          <w:lang w:val="en-US" w:eastAsia="zh-CN"/>
        </w:rPr>
        <w:t>招标方生产运行部</w:t>
      </w:r>
      <w:r>
        <w:rPr>
          <w:rFonts w:hint="eastAsia" w:ascii="宋体" w:hAnsi="宋体" w:cs="宋体"/>
          <w:sz w:val="24"/>
        </w:rPr>
        <w:t>备案。</w:t>
      </w:r>
    </w:p>
    <w:p w14:paraId="2453F3F9">
      <w:pPr>
        <w:pStyle w:val="58"/>
        <w:numPr>
          <w:ilvl w:val="0"/>
          <w:numId w:val="2"/>
        </w:numPr>
        <w:tabs>
          <w:tab w:val="left" w:pos="840"/>
          <w:tab w:val="left" w:pos="1050"/>
        </w:tabs>
        <w:spacing w:line="360" w:lineRule="auto"/>
        <w:ind w:left="0" w:firstLine="480"/>
        <w:rPr>
          <w:rFonts w:ascii="宋体" w:hAnsi="宋体" w:cs="宋体"/>
          <w:sz w:val="24"/>
        </w:rPr>
      </w:pPr>
      <w:r>
        <w:rPr>
          <w:rFonts w:hint="eastAsia" w:ascii="宋体" w:hAnsi="宋体" w:cs="宋体"/>
          <w:sz w:val="24"/>
        </w:rPr>
        <w:t>负责材料和备品备件的计划、领用、发放、使用；每周负责向招标人提供纸质版现场消缺用的装置性备件的需求清单。</w:t>
      </w:r>
    </w:p>
    <w:p w14:paraId="570F8281">
      <w:pPr>
        <w:pStyle w:val="58"/>
        <w:numPr>
          <w:ilvl w:val="0"/>
          <w:numId w:val="2"/>
        </w:numPr>
        <w:tabs>
          <w:tab w:val="left" w:pos="840"/>
          <w:tab w:val="left" w:pos="1050"/>
        </w:tabs>
        <w:spacing w:line="360" w:lineRule="auto"/>
        <w:ind w:left="0" w:firstLine="480"/>
        <w:rPr>
          <w:rFonts w:ascii="宋体" w:hAnsi="宋体" w:cs="宋体"/>
          <w:sz w:val="24"/>
        </w:rPr>
      </w:pPr>
      <w:r>
        <w:rPr>
          <w:rFonts w:hint="eastAsia" w:ascii="宋体" w:hAnsi="宋体" w:cs="宋体"/>
          <w:sz w:val="24"/>
        </w:rPr>
        <w:t>编制临时检修及日常维护方案（措施），负责内部安全技术措施交底工作。</w:t>
      </w:r>
    </w:p>
    <w:p w14:paraId="27842F02">
      <w:pPr>
        <w:pStyle w:val="58"/>
        <w:numPr>
          <w:ilvl w:val="0"/>
          <w:numId w:val="2"/>
        </w:numPr>
        <w:tabs>
          <w:tab w:val="left" w:pos="840"/>
          <w:tab w:val="left" w:pos="1050"/>
        </w:tabs>
        <w:spacing w:line="360" w:lineRule="auto"/>
        <w:ind w:left="0" w:firstLine="480"/>
        <w:rPr>
          <w:rFonts w:ascii="宋体" w:hAnsi="宋体" w:cs="宋体"/>
          <w:sz w:val="24"/>
        </w:rPr>
      </w:pPr>
      <w:r>
        <w:rPr>
          <w:rFonts w:hint="eastAsia" w:ascii="宋体" w:hAnsi="宋体" w:cs="宋体"/>
          <w:sz w:val="24"/>
        </w:rPr>
        <w:t>负责异常及以下不安全事故的调查分析，并形成书面调查分析报告交招标人审查。</w:t>
      </w:r>
    </w:p>
    <w:p w14:paraId="5927EAAD">
      <w:pPr>
        <w:pStyle w:val="58"/>
        <w:numPr>
          <w:ilvl w:val="0"/>
          <w:numId w:val="2"/>
        </w:numPr>
        <w:tabs>
          <w:tab w:val="left" w:pos="840"/>
          <w:tab w:val="left" w:pos="1050"/>
        </w:tabs>
        <w:spacing w:line="360" w:lineRule="auto"/>
        <w:ind w:left="0" w:firstLine="480"/>
        <w:rPr>
          <w:rFonts w:ascii="宋体" w:hAnsi="宋体" w:cs="宋体"/>
          <w:sz w:val="24"/>
        </w:rPr>
      </w:pPr>
      <w:r>
        <w:rPr>
          <w:rFonts w:hint="eastAsia" w:ascii="宋体" w:hAnsi="宋体" w:cs="宋体"/>
          <w:sz w:val="24"/>
        </w:rPr>
        <w:t>负责不安全情况的分析、记录和上报。</w:t>
      </w:r>
    </w:p>
    <w:p w14:paraId="704E9F2F">
      <w:pPr>
        <w:pStyle w:val="58"/>
        <w:numPr>
          <w:ilvl w:val="0"/>
          <w:numId w:val="2"/>
        </w:numPr>
        <w:tabs>
          <w:tab w:val="left" w:pos="840"/>
          <w:tab w:val="left" w:pos="1050"/>
        </w:tabs>
        <w:spacing w:line="360" w:lineRule="auto"/>
        <w:ind w:left="0" w:firstLine="480"/>
        <w:rPr>
          <w:rFonts w:ascii="宋体" w:hAnsi="宋体" w:cs="宋体"/>
          <w:sz w:val="24"/>
        </w:rPr>
      </w:pPr>
      <w:r>
        <w:rPr>
          <w:rFonts w:hint="eastAsia" w:ascii="宋体" w:hAnsi="宋体" w:cs="宋体"/>
          <w:sz w:val="24"/>
        </w:rPr>
        <w:t>严格执行设备检修卡和检修文件包，并提出合理化修改意见。</w:t>
      </w:r>
    </w:p>
    <w:p w14:paraId="6F744C70">
      <w:pPr>
        <w:pStyle w:val="58"/>
        <w:numPr>
          <w:ilvl w:val="0"/>
          <w:numId w:val="2"/>
        </w:numPr>
        <w:tabs>
          <w:tab w:val="left" w:pos="840"/>
          <w:tab w:val="left" w:pos="1050"/>
        </w:tabs>
        <w:spacing w:line="360" w:lineRule="auto"/>
        <w:ind w:left="0" w:firstLine="480"/>
        <w:rPr>
          <w:rFonts w:ascii="宋体" w:hAnsi="宋体" w:cs="宋体"/>
          <w:sz w:val="24"/>
        </w:rPr>
      </w:pPr>
      <w:r>
        <w:rPr>
          <w:rFonts w:hint="eastAsia" w:ascii="宋体" w:hAnsi="宋体" w:cs="宋体"/>
          <w:sz w:val="24"/>
        </w:rPr>
        <w:t>协助招标人处理厂内其他应急事件，如组织人员并提供工器具（如潜水泵、配电盘）抗洪及抢险等。</w:t>
      </w:r>
    </w:p>
    <w:p w14:paraId="283AE99E">
      <w:pPr>
        <w:pStyle w:val="58"/>
        <w:numPr>
          <w:ilvl w:val="0"/>
          <w:numId w:val="2"/>
        </w:numPr>
        <w:tabs>
          <w:tab w:val="left" w:pos="840"/>
          <w:tab w:val="left" w:pos="1050"/>
        </w:tabs>
        <w:spacing w:line="360" w:lineRule="auto"/>
        <w:ind w:left="0" w:firstLine="480"/>
        <w:rPr>
          <w:rFonts w:ascii="宋体" w:hAnsi="宋体" w:cs="宋体"/>
          <w:sz w:val="24"/>
        </w:rPr>
      </w:pPr>
      <w:r>
        <w:rPr>
          <w:rFonts w:hint="eastAsia" w:ascii="宋体" w:hAnsi="宋体" w:cs="宋体"/>
          <w:sz w:val="24"/>
        </w:rPr>
        <w:t>在正式进入现场半年内拟订和完成设备检修文件包（包括设备检修项目、材料、工器具、人员、工序、安全技术措施及危险点分析、质量验收标准等）及维护队伍内部管理制度并交招标人审核。</w:t>
      </w:r>
    </w:p>
    <w:p w14:paraId="74C0B53B">
      <w:pPr>
        <w:pStyle w:val="58"/>
        <w:numPr>
          <w:ilvl w:val="0"/>
          <w:numId w:val="2"/>
        </w:numPr>
        <w:tabs>
          <w:tab w:val="left" w:pos="840"/>
          <w:tab w:val="left" w:pos="1050"/>
        </w:tabs>
        <w:spacing w:line="360" w:lineRule="auto"/>
        <w:ind w:left="0" w:firstLine="480"/>
        <w:rPr>
          <w:rFonts w:ascii="宋体" w:hAnsi="宋体" w:cs="宋体"/>
          <w:sz w:val="24"/>
        </w:rPr>
      </w:pPr>
      <w:r>
        <w:rPr>
          <w:rFonts w:hint="eastAsia" w:ascii="宋体" w:hAnsi="宋体" w:cs="宋体"/>
          <w:sz w:val="24"/>
        </w:rPr>
        <w:t>投标人应服从招标人根据生产现场实际检修工作情况而发出的一切指令，包括检修人员的适时增加或减少。</w:t>
      </w:r>
    </w:p>
    <w:p w14:paraId="0027FC83">
      <w:pPr>
        <w:pStyle w:val="58"/>
        <w:numPr>
          <w:ilvl w:val="0"/>
          <w:numId w:val="2"/>
        </w:numPr>
        <w:tabs>
          <w:tab w:val="left" w:pos="840"/>
          <w:tab w:val="left" w:pos="1050"/>
        </w:tabs>
        <w:spacing w:line="360" w:lineRule="auto"/>
        <w:ind w:left="0" w:firstLine="480"/>
        <w:rPr>
          <w:rFonts w:ascii="宋体" w:hAnsi="宋体" w:cs="宋体"/>
          <w:sz w:val="24"/>
        </w:rPr>
      </w:pPr>
      <w:r>
        <w:rPr>
          <w:rFonts w:hint="eastAsia" w:ascii="宋体" w:hAnsi="宋体" w:cs="宋体"/>
          <w:sz w:val="24"/>
        </w:rPr>
        <w:t>投标人应服从并严格遵守招标人管理体系。</w:t>
      </w:r>
    </w:p>
    <w:p w14:paraId="29833DF6">
      <w:pPr>
        <w:pStyle w:val="58"/>
        <w:numPr>
          <w:ilvl w:val="0"/>
          <w:numId w:val="2"/>
        </w:numPr>
        <w:tabs>
          <w:tab w:val="left" w:pos="840"/>
          <w:tab w:val="left" w:pos="1050"/>
        </w:tabs>
        <w:spacing w:line="360" w:lineRule="auto"/>
        <w:ind w:left="0" w:firstLine="480"/>
        <w:rPr>
          <w:rFonts w:ascii="宋体" w:hAnsi="宋体" w:cs="宋体"/>
          <w:sz w:val="24"/>
        </w:rPr>
      </w:pPr>
      <w:r>
        <w:rPr>
          <w:rFonts w:hint="eastAsia" w:ascii="宋体" w:hAnsi="宋体" w:cs="宋体"/>
          <w:sz w:val="24"/>
        </w:rPr>
        <w:t>负责开展日常维护工作，现场检查记录、录入及整理数据等。</w:t>
      </w:r>
    </w:p>
    <w:p w14:paraId="3B73758A">
      <w:pPr>
        <w:pStyle w:val="58"/>
        <w:numPr>
          <w:ilvl w:val="0"/>
          <w:numId w:val="2"/>
        </w:numPr>
        <w:tabs>
          <w:tab w:val="left" w:pos="840"/>
          <w:tab w:val="left" w:pos="1050"/>
        </w:tabs>
        <w:spacing w:line="360" w:lineRule="auto"/>
        <w:ind w:left="0" w:firstLine="480"/>
        <w:rPr>
          <w:rFonts w:ascii="宋体" w:hAnsi="宋体" w:cs="宋体"/>
          <w:sz w:val="24"/>
        </w:rPr>
      </w:pPr>
      <w:r>
        <w:rPr>
          <w:rFonts w:hint="eastAsia" w:ascii="宋体" w:hAnsi="宋体" w:cs="宋体"/>
          <w:sz w:val="24"/>
        </w:rPr>
        <w:t>每次停机检修前对设备缺陷进行梳理，报</w:t>
      </w:r>
      <w:r>
        <w:rPr>
          <w:rFonts w:hint="eastAsia" w:ascii="宋体" w:hAnsi="宋体" w:cs="宋体"/>
          <w:sz w:val="24"/>
          <w:lang w:val="en-US" w:eastAsia="zh-CN"/>
        </w:rPr>
        <w:t>招标方生产运行部</w:t>
      </w:r>
      <w:r>
        <w:rPr>
          <w:rFonts w:hint="eastAsia" w:ascii="宋体" w:hAnsi="宋体" w:cs="宋体"/>
          <w:sz w:val="24"/>
        </w:rPr>
        <w:t>相应专业。</w:t>
      </w:r>
    </w:p>
    <w:p w14:paraId="6BE6559F">
      <w:pPr>
        <w:pStyle w:val="58"/>
        <w:numPr>
          <w:ilvl w:val="0"/>
          <w:numId w:val="2"/>
        </w:numPr>
        <w:tabs>
          <w:tab w:val="left" w:pos="840"/>
          <w:tab w:val="left" w:pos="1050"/>
        </w:tabs>
        <w:spacing w:line="360" w:lineRule="auto"/>
        <w:ind w:left="0" w:firstLine="480"/>
        <w:rPr>
          <w:rFonts w:ascii="宋体" w:hAnsi="宋体" w:cs="宋体"/>
          <w:sz w:val="24"/>
        </w:rPr>
      </w:pPr>
      <w:r>
        <w:rPr>
          <w:rFonts w:hint="eastAsia" w:ascii="宋体" w:hAnsi="宋体" w:cs="宋体"/>
          <w:sz w:val="24"/>
        </w:rPr>
        <w:t>维护工作应由投标人自行完成，不得转包分包。</w:t>
      </w:r>
    </w:p>
    <w:p w14:paraId="219BDF7B">
      <w:pPr>
        <w:pStyle w:val="58"/>
        <w:numPr>
          <w:ilvl w:val="0"/>
          <w:numId w:val="2"/>
        </w:numPr>
        <w:tabs>
          <w:tab w:val="left" w:pos="840"/>
          <w:tab w:val="left" w:pos="1050"/>
        </w:tabs>
        <w:spacing w:line="360" w:lineRule="auto"/>
        <w:ind w:left="0" w:firstLine="480"/>
        <w:rPr>
          <w:rFonts w:ascii="宋体" w:hAnsi="宋体" w:cs="宋体"/>
          <w:sz w:val="24"/>
        </w:rPr>
      </w:pPr>
      <w:r>
        <w:rPr>
          <w:rFonts w:hint="eastAsia" w:ascii="宋体" w:hAnsi="宋体" w:cs="宋体"/>
          <w:sz w:val="24"/>
        </w:rPr>
        <w:t>投标人在进场前一周应向相关部门提供日常维护人员名单，经审核同意后，任何情况下的人员变动都应提前通知招标人相关人员，并需征得同意。未经同意，投标人不得随意更换工作人员。招标人要求替换人员到厂培训两周，认可后方可进行更替。管理人员和主要技术人员若要请假离开维保工作岗位需要取得招标人同意，请假天数三天以上需要有相当人员顶替。</w:t>
      </w:r>
    </w:p>
    <w:p w14:paraId="1C0907F9">
      <w:pPr>
        <w:pStyle w:val="58"/>
        <w:numPr>
          <w:ilvl w:val="0"/>
          <w:numId w:val="2"/>
        </w:numPr>
        <w:tabs>
          <w:tab w:val="left" w:pos="840"/>
          <w:tab w:val="left" w:pos="1050"/>
        </w:tabs>
        <w:spacing w:line="360" w:lineRule="auto"/>
        <w:ind w:left="0" w:firstLine="480"/>
        <w:rPr>
          <w:rFonts w:ascii="宋体" w:hAnsi="宋体" w:cs="宋体"/>
          <w:sz w:val="24"/>
        </w:rPr>
      </w:pPr>
      <w:r>
        <w:rPr>
          <w:rFonts w:hint="eastAsia" w:ascii="宋体" w:hAnsi="宋体" w:cs="宋体"/>
          <w:sz w:val="24"/>
        </w:rPr>
        <w:t>投标人各专业</w:t>
      </w:r>
      <w:r>
        <w:rPr>
          <w:rFonts w:hint="eastAsia" w:ascii="宋体" w:hAnsi="宋体" w:cs="宋体"/>
          <w:sz w:val="24"/>
          <w:lang w:val="en-US" w:eastAsia="zh-CN"/>
        </w:rPr>
        <w:t>夜间及周末（含节假日）</w:t>
      </w:r>
      <w:r>
        <w:rPr>
          <w:rFonts w:hint="eastAsia" w:ascii="宋体" w:hAnsi="宋体" w:cs="宋体"/>
          <w:sz w:val="24"/>
        </w:rPr>
        <w:t>必须至少安排</w:t>
      </w:r>
      <w:r>
        <w:rPr>
          <w:rFonts w:hint="eastAsia" w:ascii="宋体" w:hAnsi="宋体" w:cs="宋体"/>
          <w:sz w:val="24"/>
          <w:lang w:val="en-US" w:eastAsia="zh-CN"/>
        </w:rPr>
        <w:t>2</w:t>
      </w:r>
      <w:r>
        <w:rPr>
          <w:rFonts w:hint="eastAsia" w:ascii="宋体" w:hAnsi="宋体" w:cs="宋体"/>
          <w:sz w:val="24"/>
        </w:rPr>
        <w:t>人（机务</w:t>
      </w:r>
      <w:r>
        <w:rPr>
          <w:rFonts w:hint="eastAsia" w:ascii="宋体" w:hAnsi="宋体" w:cs="宋体"/>
          <w:sz w:val="24"/>
          <w:lang w:val="en-US" w:eastAsia="zh-CN"/>
        </w:rPr>
        <w:t>1</w:t>
      </w:r>
      <w:r>
        <w:rPr>
          <w:rFonts w:hint="eastAsia" w:ascii="宋体" w:hAnsi="宋体" w:cs="宋体"/>
          <w:sz w:val="24"/>
        </w:rPr>
        <w:t>人，电热</w:t>
      </w:r>
      <w:r>
        <w:rPr>
          <w:rFonts w:ascii="宋体" w:hAnsi="宋体" w:cs="宋体"/>
          <w:sz w:val="24"/>
        </w:rPr>
        <w:t>1</w:t>
      </w:r>
      <w:r>
        <w:rPr>
          <w:rFonts w:hint="eastAsia" w:ascii="宋体" w:hAnsi="宋体" w:cs="宋体"/>
          <w:sz w:val="24"/>
        </w:rPr>
        <w:t>人）以上能胜任工作的人员值班，并做好值班记录。</w:t>
      </w:r>
    </w:p>
    <w:p w14:paraId="4833CCD0">
      <w:pPr>
        <w:pStyle w:val="58"/>
        <w:numPr>
          <w:ilvl w:val="0"/>
          <w:numId w:val="2"/>
        </w:numPr>
        <w:tabs>
          <w:tab w:val="left" w:pos="840"/>
          <w:tab w:val="left" w:pos="1050"/>
        </w:tabs>
        <w:spacing w:line="360" w:lineRule="auto"/>
        <w:ind w:left="0" w:firstLine="480"/>
        <w:rPr>
          <w:rFonts w:ascii="宋体" w:hAnsi="宋体" w:cs="宋体"/>
          <w:sz w:val="24"/>
        </w:rPr>
      </w:pPr>
      <w:r>
        <w:rPr>
          <w:rFonts w:hint="eastAsia" w:ascii="宋体" w:hAnsi="宋体" w:cs="宋体"/>
          <w:sz w:val="24"/>
        </w:rPr>
        <w:t>投入本工程的安全措施费不少于合同金额的2</w:t>
      </w:r>
      <w:r>
        <w:rPr>
          <w:rFonts w:ascii="宋体" w:hAnsi="宋体" w:cs="宋体"/>
          <w:sz w:val="24"/>
        </w:rPr>
        <w:t>%</w:t>
      </w:r>
      <w:r>
        <w:rPr>
          <w:rFonts w:hint="eastAsia" w:ascii="宋体" w:hAnsi="宋体" w:cs="宋体"/>
          <w:sz w:val="24"/>
        </w:rPr>
        <w:t>，措施费用的使用流程符合《企业安全生产费用提取和使用管理办法》（财</w:t>
      </w:r>
      <w:r>
        <w:rPr>
          <w:rFonts w:hint="eastAsia" w:ascii="宋体" w:hAnsi="宋体" w:cs="宋体"/>
          <w:sz w:val="24"/>
          <w:lang w:val="en-US" w:eastAsia="zh-CN"/>
        </w:rPr>
        <w:t>资</w:t>
      </w:r>
      <w:r>
        <w:rPr>
          <w:rFonts w:hint="eastAsia" w:ascii="宋体" w:hAnsi="宋体" w:cs="宋体"/>
          <w:sz w:val="24"/>
        </w:rPr>
        <w:t>﹝2</w:t>
      </w:r>
      <w:r>
        <w:rPr>
          <w:rFonts w:ascii="宋体" w:hAnsi="宋体" w:cs="宋体"/>
          <w:sz w:val="24"/>
        </w:rPr>
        <w:t>0</w:t>
      </w:r>
      <w:r>
        <w:rPr>
          <w:rFonts w:hint="eastAsia" w:ascii="宋体" w:hAnsi="宋体" w:cs="宋体"/>
          <w:sz w:val="24"/>
          <w:lang w:val="en-US" w:eastAsia="zh-CN"/>
        </w:rPr>
        <w:t>2</w:t>
      </w:r>
      <w:r>
        <w:rPr>
          <w:rFonts w:ascii="宋体" w:hAnsi="宋体" w:cs="宋体"/>
          <w:sz w:val="24"/>
        </w:rPr>
        <w:t>2</w:t>
      </w:r>
      <w:r>
        <w:rPr>
          <w:rFonts w:hint="eastAsia" w:ascii="宋体" w:hAnsi="宋体" w:cs="宋体"/>
          <w:sz w:val="24"/>
        </w:rPr>
        <w:t>﹞</w:t>
      </w:r>
      <w:r>
        <w:rPr>
          <w:rFonts w:ascii="宋体" w:hAnsi="宋体" w:cs="宋体"/>
          <w:sz w:val="24"/>
        </w:rPr>
        <w:t>1</w:t>
      </w:r>
      <w:r>
        <w:rPr>
          <w:rFonts w:hint="eastAsia" w:ascii="宋体" w:hAnsi="宋体" w:cs="宋体"/>
          <w:sz w:val="24"/>
          <w:lang w:val="en-US" w:eastAsia="zh-CN"/>
        </w:rPr>
        <w:t>3</w:t>
      </w:r>
      <w:r>
        <w:rPr>
          <w:rFonts w:ascii="宋体" w:hAnsi="宋体" w:cs="宋体"/>
          <w:sz w:val="24"/>
        </w:rPr>
        <w:t>6</w:t>
      </w:r>
      <w:r>
        <w:rPr>
          <w:rFonts w:hint="eastAsia" w:ascii="宋体" w:hAnsi="宋体" w:cs="宋体"/>
          <w:sz w:val="24"/>
        </w:rPr>
        <w:t>号）。</w:t>
      </w:r>
    </w:p>
    <w:p w14:paraId="7448B4A7">
      <w:pPr>
        <w:pStyle w:val="3"/>
      </w:pPr>
      <w:bookmarkStart w:id="12" w:name="_Toc788"/>
      <w:r>
        <w:rPr>
          <w:rFonts w:hint="eastAsia"/>
        </w:rPr>
        <w:t>投标人</w:t>
      </w:r>
      <w:bookmarkEnd w:id="12"/>
    </w:p>
    <w:p w14:paraId="7072A692">
      <w:pPr>
        <w:pStyle w:val="4"/>
      </w:pPr>
      <w:bookmarkStart w:id="13" w:name="_Toc22931"/>
      <w:r>
        <w:rPr>
          <w:rFonts w:hint="eastAsia"/>
        </w:rPr>
        <w:t>人员要求</w:t>
      </w:r>
      <w:bookmarkEnd w:id="13"/>
    </w:p>
    <w:p w14:paraId="4DB3D8E6">
      <w:pPr>
        <w:pStyle w:val="6"/>
      </w:pPr>
      <w:r>
        <w:rPr>
          <w:rFonts w:hint="eastAsia"/>
        </w:rPr>
        <w:t>投标人中标以后应对拟选派进厂的员工进行安全技术培训和考核，将成绩合格人员的考试成绩和身份证、劳动合同、特种作业证、体检及工伤保险或意外伤害险种（不低于上年度全国城镇居民人均可支配收入20倍额度）等相关资料复印件交招标人审核、备案。人员不得随意更换。</w:t>
      </w:r>
    </w:p>
    <w:p w14:paraId="756F715B">
      <w:pPr>
        <w:pStyle w:val="6"/>
      </w:pPr>
      <w:r>
        <w:rPr>
          <w:rFonts w:hint="eastAsia"/>
        </w:rPr>
        <w:t>投标人各人员年龄均须满足1</w:t>
      </w:r>
      <w:r>
        <w:t>8</w:t>
      </w:r>
      <w:r>
        <w:rPr>
          <w:rFonts w:hint="eastAsia"/>
        </w:rPr>
        <w:t>周岁以上，男</w:t>
      </w:r>
      <w:r>
        <w:t>60</w:t>
      </w:r>
      <w:r>
        <w:rPr>
          <w:rFonts w:hint="eastAsia"/>
        </w:rPr>
        <w:t>周岁以下，女5</w:t>
      </w:r>
      <w:r>
        <w:t>5</w:t>
      </w:r>
      <w:r>
        <w:rPr>
          <w:rFonts w:hint="eastAsia"/>
        </w:rPr>
        <w:t>周岁以下。从事井下、高空、高温、特别繁重体力劳动和其他有害身体健康的作业人员男低于55周岁，女低于50周岁。</w:t>
      </w:r>
    </w:p>
    <w:p w14:paraId="3B4CE345">
      <w:pPr>
        <w:pStyle w:val="6"/>
        <w:rPr>
          <w:highlight w:val="none"/>
        </w:rPr>
      </w:pPr>
      <w:r>
        <w:rPr>
          <w:rFonts w:hint="eastAsia"/>
          <w:highlight w:val="none"/>
        </w:rPr>
        <w:t>配备项目经理1人，指定</w:t>
      </w:r>
      <w:r>
        <w:rPr>
          <w:rFonts w:hint="eastAsia"/>
          <w:color w:val="auto"/>
          <w:highlight w:val="none"/>
        </w:rPr>
        <w:t>专职</w:t>
      </w:r>
      <w:r>
        <w:rPr>
          <w:rFonts w:hint="eastAsia"/>
          <w:color w:val="auto"/>
          <w:highlight w:val="none"/>
          <w:lang w:val="en-US" w:eastAsia="zh-CN"/>
        </w:rPr>
        <w:t>或兼职</w:t>
      </w:r>
      <w:r>
        <w:rPr>
          <w:rFonts w:hint="eastAsia"/>
          <w:color w:val="auto"/>
          <w:highlight w:val="none"/>
        </w:rPr>
        <w:t>安全员1</w:t>
      </w:r>
      <w:r>
        <w:rPr>
          <w:rFonts w:hint="eastAsia"/>
          <w:highlight w:val="none"/>
        </w:rPr>
        <w:t>人。</w:t>
      </w:r>
    </w:p>
    <w:p w14:paraId="5E3CC02D">
      <w:pPr>
        <w:pStyle w:val="6"/>
        <w:rPr>
          <w:highlight w:val="none"/>
        </w:rPr>
      </w:pPr>
      <w:r>
        <w:rPr>
          <w:rFonts w:hint="eastAsia"/>
          <w:highlight w:val="none"/>
        </w:rPr>
        <w:t>投标方中标后项目部正式员工比例应大于40%，提供正式员工的社保缴纳记录等必要证明材料。</w:t>
      </w:r>
    </w:p>
    <w:p w14:paraId="34ED7F14">
      <w:pPr>
        <w:pStyle w:val="6"/>
        <w:rPr>
          <w:highlight w:val="none"/>
        </w:rPr>
      </w:pPr>
      <w:r>
        <w:rPr>
          <w:rFonts w:hint="eastAsia"/>
          <w:highlight w:val="none"/>
        </w:rPr>
        <w:t>项目负责人：是维护项目安全的第一责任人，</w:t>
      </w:r>
      <w:r>
        <w:rPr>
          <w:rFonts w:hint="default" w:ascii="Times New Roman" w:hAnsi="Times New Roman" w:cs="Times New Roman"/>
          <w:highlight w:val="none"/>
          <w:lang w:val="en-US" w:eastAsia="zh-CN"/>
        </w:rPr>
        <w:t>应具有</w:t>
      </w:r>
      <w:r>
        <w:rPr>
          <w:rFonts w:hint="eastAsia" w:ascii="Times New Roman" w:hAnsi="Times New Roman" w:cs="Times New Roman"/>
          <w:highlight w:val="none"/>
          <w:lang w:val="en-US" w:eastAsia="zh-CN"/>
        </w:rPr>
        <w:t>机电工程类</w:t>
      </w:r>
      <w:r>
        <w:rPr>
          <w:rFonts w:hint="default" w:ascii="Times New Roman" w:hAnsi="Times New Roman" w:cs="Times New Roman"/>
          <w:highlight w:val="none"/>
          <w:lang w:val="en-US" w:eastAsia="zh-CN"/>
        </w:rPr>
        <w:t>中级及以上专业技术职称，至少担任过一家装机规模6MW及以上</w:t>
      </w:r>
      <w:r>
        <w:rPr>
          <w:rFonts w:hint="eastAsia" w:cs="Times New Roman"/>
          <w:highlight w:val="none"/>
          <w:lang w:val="en-US" w:eastAsia="zh-CN"/>
        </w:rPr>
        <w:t>火力发电厂（</w:t>
      </w:r>
      <w:r>
        <w:rPr>
          <w:rFonts w:hint="default" w:cs="Times New Roman"/>
          <w:highlight w:val="none"/>
          <w:lang w:val="en-US" w:eastAsia="zh-CN"/>
        </w:rPr>
        <w:t>燃煤发电厂</w:t>
      </w:r>
      <w:r>
        <w:rPr>
          <w:rFonts w:hint="eastAsia" w:cs="Times New Roman"/>
          <w:highlight w:val="none"/>
          <w:lang w:val="en-US" w:eastAsia="zh-CN"/>
        </w:rPr>
        <w:t>、</w:t>
      </w:r>
      <w:r>
        <w:rPr>
          <w:rFonts w:hint="default" w:cs="Times New Roman"/>
          <w:highlight w:val="none"/>
          <w:lang w:val="en-US" w:eastAsia="zh-CN"/>
        </w:rPr>
        <w:t>燃气发电厂</w:t>
      </w:r>
      <w:r>
        <w:rPr>
          <w:rFonts w:hint="eastAsia" w:cs="Times New Roman"/>
          <w:highlight w:val="none"/>
          <w:lang w:val="en-US" w:eastAsia="zh-CN"/>
        </w:rPr>
        <w:t>、</w:t>
      </w:r>
      <w:r>
        <w:rPr>
          <w:rFonts w:hint="default" w:cs="Times New Roman"/>
          <w:highlight w:val="none"/>
          <w:lang w:val="en-US" w:eastAsia="zh-CN"/>
        </w:rPr>
        <w:t>余热发电厂</w:t>
      </w:r>
      <w:r>
        <w:rPr>
          <w:rFonts w:hint="eastAsia" w:cs="Times New Roman"/>
          <w:highlight w:val="none"/>
          <w:lang w:val="en-US" w:eastAsia="zh-CN"/>
        </w:rPr>
        <w:t>或者</w:t>
      </w:r>
      <w:r>
        <w:rPr>
          <w:rFonts w:hint="default" w:cs="Times New Roman"/>
          <w:highlight w:val="none"/>
          <w:lang w:val="en-US" w:eastAsia="zh-CN"/>
        </w:rPr>
        <w:t>以垃圾及工业废料为燃料的发电厂</w:t>
      </w:r>
      <w:r>
        <w:rPr>
          <w:rFonts w:hint="eastAsia" w:cs="Times New Roman"/>
          <w:highlight w:val="none"/>
          <w:lang w:val="en-US" w:eastAsia="zh-CN"/>
        </w:rPr>
        <w:t>，下同</w:t>
      </w:r>
      <w:r>
        <w:rPr>
          <w:rFonts w:hint="default" w:cs="Times New Roman"/>
          <w:highlight w:val="none"/>
          <w:lang w:eastAsia="zh-CN"/>
        </w:rPr>
        <w:t>）</w:t>
      </w:r>
      <w:r>
        <w:rPr>
          <w:rFonts w:hint="eastAsia" w:cs="Times New Roman"/>
          <w:highlight w:val="none"/>
          <w:lang w:val="en-US" w:eastAsia="zh-CN"/>
        </w:rPr>
        <w:t>检修</w:t>
      </w:r>
      <w:r>
        <w:rPr>
          <w:rFonts w:hint="eastAsia" w:cs="Times New Roman"/>
          <w:highlight w:val="none"/>
          <w:lang w:val="en-US" w:eastAsia="zh-CN"/>
        </w:rPr>
        <w:t>维护</w:t>
      </w:r>
      <w:r>
        <w:rPr>
          <w:rFonts w:hint="default" w:ascii="Times New Roman" w:hAnsi="Times New Roman" w:cs="Times New Roman"/>
          <w:highlight w:val="none"/>
          <w:lang w:val="en-US" w:eastAsia="zh-CN"/>
        </w:rPr>
        <w:t>项目的项目经理。具有3年以上6MW及以上规模</w:t>
      </w:r>
      <w:r>
        <w:rPr>
          <w:rFonts w:hint="eastAsia" w:ascii="Times New Roman" w:hAnsi="Times New Roman" w:cs="Times New Roman"/>
          <w:highlight w:val="none"/>
          <w:lang w:val="en-US" w:eastAsia="zh-CN"/>
        </w:rPr>
        <w:t>火力发电厂</w:t>
      </w:r>
      <w:r>
        <w:rPr>
          <w:rFonts w:hint="default" w:ascii="Times New Roman" w:hAnsi="Times New Roman" w:cs="Times New Roman"/>
          <w:highlight w:val="none"/>
          <w:lang w:val="en-US" w:eastAsia="zh-CN"/>
        </w:rPr>
        <w:t>机组维护经验，需提供身份证、从业经历和资格证明材料等。</w:t>
      </w:r>
    </w:p>
    <w:p w14:paraId="14306A5C">
      <w:pPr>
        <w:pStyle w:val="6"/>
        <w:rPr>
          <w:highlight w:val="none"/>
        </w:rPr>
      </w:pPr>
      <w:r>
        <w:rPr>
          <w:rFonts w:hint="eastAsia"/>
          <w:highlight w:val="none"/>
        </w:rPr>
        <w:t>安全管理人员：熟悉掌握电力安全的各项要求，应掌握《电力安全工作规程》，熟悉电力系统安规反措的各项要求，应具备掌控现场的安全状况的能力。应具备</w:t>
      </w:r>
      <w:r>
        <w:rPr>
          <w:rFonts w:hint="eastAsia"/>
          <w:highlight w:val="none"/>
          <w:lang w:val="en-US" w:eastAsia="zh-CN"/>
        </w:rPr>
        <w:t>6</w:t>
      </w:r>
      <w:r>
        <w:rPr>
          <w:rFonts w:hint="eastAsia"/>
          <w:highlight w:val="none"/>
        </w:rPr>
        <w:t>年以上电力生产维护经验安全管理经验，具有国家认可的安全资质证书或安全管理人员培训合格证，相关专业专科或以上学历，有良好的组织协调能力，能承担安全督察监察、消防管理、安全教育培训、劳动保护等方面工作。具有5年以上</w:t>
      </w:r>
      <w:r>
        <w:rPr>
          <w:rFonts w:hint="eastAsia"/>
          <w:highlight w:val="none"/>
          <w:lang w:val="en-US" w:eastAsia="zh-CN"/>
        </w:rPr>
        <w:t>火力发</w:t>
      </w:r>
      <w:r>
        <w:rPr>
          <w:rFonts w:hint="eastAsia"/>
          <w:highlight w:val="none"/>
        </w:rPr>
        <w:t>电厂安全管理岗位经验。上岗前通过</w:t>
      </w:r>
      <w:r>
        <w:rPr>
          <w:rFonts w:hint="eastAsia"/>
          <w:highlight w:val="none"/>
          <w:lang w:val="en-US" w:eastAsia="zh-CN"/>
        </w:rPr>
        <w:t>火力发电厂</w:t>
      </w:r>
      <w:r>
        <w:rPr>
          <w:rFonts w:hint="eastAsia"/>
          <w:highlight w:val="none"/>
        </w:rPr>
        <w:t>的专业资格考试。</w:t>
      </w:r>
    </w:p>
    <w:p w14:paraId="76E7BF40">
      <w:pPr>
        <w:pStyle w:val="6"/>
        <w:rPr>
          <w:highlight w:val="none"/>
        </w:rPr>
      </w:pPr>
      <w:r>
        <w:rPr>
          <w:rFonts w:hint="eastAsia"/>
          <w:highlight w:val="none"/>
        </w:rPr>
        <w:t>专业技术管理人员：熟悉和掌握机械、电气安全知识，应掌握《电力安全工作规程》，了解电力系统安规反措的各项要求。具备5年以上电力运行、检修、安装和维护经验，具有大专及以上学历，具有工程师或技师等同类职称，熟悉热力、电气、热控系统流程，熟悉专业设备的型号参数、结构原理、工作原理及检修维护工艺要点。具有3年以上同类或以上机组类似项目运行、检修和维护经验，熟悉设备运行、维修管理流程，熟悉运行、检修规程。上岗前通过</w:t>
      </w:r>
      <w:r>
        <w:rPr>
          <w:rFonts w:hint="eastAsia"/>
          <w:highlight w:val="none"/>
          <w:lang w:val="en-US" w:eastAsia="zh-CN"/>
        </w:rPr>
        <w:t>火力发电厂</w:t>
      </w:r>
      <w:r>
        <w:rPr>
          <w:rFonts w:hint="eastAsia"/>
          <w:highlight w:val="none"/>
        </w:rPr>
        <w:t>的专业资格考试。</w:t>
      </w:r>
    </w:p>
    <w:p w14:paraId="3AD6626C">
      <w:pPr>
        <w:pStyle w:val="6"/>
        <w:rPr>
          <w:highlight w:val="none"/>
        </w:rPr>
      </w:pPr>
      <w:r>
        <w:rPr>
          <w:rFonts w:hint="eastAsia"/>
          <w:highlight w:val="none"/>
        </w:rPr>
        <w:t>班组管理人员：熟悉和掌握机械、电气安全知识，应掌握《电力安全工作规程》，具有高级工或同类以上职称。熟悉热力、电气系统流程、设备的型号参数、结构原理、工作原理及运行、检修维护工艺要点。必须具备5年以上电力检修、安装和维护经验，具有3年以上同类或以上</w:t>
      </w:r>
      <w:r>
        <w:rPr>
          <w:rFonts w:hint="eastAsia"/>
          <w:highlight w:val="none"/>
          <w:lang w:val="en-US" w:eastAsia="zh-CN"/>
        </w:rPr>
        <w:t>火力发电厂</w:t>
      </w:r>
      <w:r>
        <w:rPr>
          <w:rFonts w:hint="eastAsia"/>
          <w:highlight w:val="none"/>
        </w:rPr>
        <w:t>机组类似项目运行、检修和维护经验，能够独立并指导完成现场检修及消缺的工作。上岗前通过</w:t>
      </w:r>
      <w:r>
        <w:rPr>
          <w:rFonts w:hint="eastAsia"/>
          <w:highlight w:val="none"/>
          <w:lang w:val="en-US" w:eastAsia="zh-CN"/>
        </w:rPr>
        <w:t>火力发电厂</w:t>
      </w:r>
      <w:r>
        <w:rPr>
          <w:rFonts w:hint="eastAsia"/>
          <w:highlight w:val="none"/>
        </w:rPr>
        <w:t>的专业资格考试。</w:t>
      </w:r>
    </w:p>
    <w:p w14:paraId="7CFE9D99">
      <w:pPr>
        <w:pStyle w:val="6"/>
        <w:rPr>
          <w:highlight w:val="none"/>
        </w:rPr>
      </w:pPr>
      <w:r>
        <w:rPr>
          <w:rFonts w:hint="eastAsia"/>
          <w:highlight w:val="none"/>
        </w:rPr>
        <w:t>作业人员（技工）：熟悉和掌握机械、电气安全知识，应掌握《电力安全工作规程》，具有中级工或同类以上职称。熟悉热力、电气系统流程、设备的型号参数、结构原理、工作原理及运行、检修维护工艺要点。具备2年以上电力检修、安装和维护经验，能够独立完成现场检修及消缺的工作。上岗前通过</w:t>
      </w:r>
      <w:r>
        <w:rPr>
          <w:rFonts w:hint="eastAsia"/>
          <w:highlight w:val="none"/>
          <w:lang w:val="en-US" w:eastAsia="zh-CN"/>
        </w:rPr>
        <w:t>火力发电厂</w:t>
      </w:r>
      <w:r>
        <w:rPr>
          <w:rFonts w:hint="eastAsia"/>
          <w:highlight w:val="none"/>
        </w:rPr>
        <w:t>的专业资格考试。</w:t>
      </w:r>
      <w:bookmarkStart w:id="17" w:name="_GoBack"/>
      <w:bookmarkEnd w:id="17"/>
    </w:p>
    <w:p w14:paraId="2F03E14B">
      <w:pPr>
        <w:pStyle w:val="6"/>
        <w:rPr>
          <w:highlight w:val="none"/>
        </w:rPr>
      </w:pPr>
      <w:r>
        <w:rPr>
          <w:rFonts w:hint="eastAsia"/>
          <w:highlight w:val="none"/>
        </w:rPr>
        <w:t>作业人员（普工）：熟悉和掌握机械、电气安全知识，应掌握《电力安全工作规程》，具备2年以上本岗位的工作经验，能独立完成本岗位的工作。上岗前通过</w:t>
      </w:r>
      <w:r>
        <w:rPr>
          <w:rFonts w:hint="eastAsia"/>
          <w:highlight w:val="none"/>
          <w:lang w:val="en-US" w:eastAsia="zh-CN"/>
        </w:rPr>
        <w:t>火力发电厂</w:t>
      </w:r>
      <w:r>
        <w:rPr>
          <w:rFonts w:hint="eastAsia"/>
          <w:highlight w:val="none"/>
        </w:rPr>
        <w:t>的资格考试。</w:t>
      </w:r>
    </w:p>
    <w:p w14:paraId="3DC3A5D6">
      <w:pPr>
        <w:pStyle w:val="6"/>
      </w:pPr>
      <w:r>
        <w:rPr>
          <w:rFonts w:hint="eastAsia"/>
        </w:rPr>
        <w:t>高压焊工、电工、起重、架子工、消防维护、电梯维修等特种作业人员具有主管部门颁发的有效证书；其他专业工种具有合格的业务水平，有一定的安全基础知识。普工、杂工等一律不得从事技术性的工作。</w:t>
      </w:r>
    </w:p>
    <w:p w14:paraId="4BD75113">
      <w:pPr>
        <w:pStyle w:val="6"/>
      </w:pPr>
      <w:r>
        <w:rPr>
          <w:rFonts w:hint="eastAsia"/>
        </w:rPr>
        <w:t>签订合同后，工作负责人及以上承包商人员不得随意更换。一般员工要保持相对稳定，严格控制人员流动。人员流动变化率不超过总人数的15%。</w:t>
      </w:r>
    </w:p>
    <w:p w14:paraId="60CBA9F7">
      <w:pPr>
        <w:pStyle w:val="6"/>
      </w:pPr>
      <w:r>
        <w:rPr>
          <w:rFonts w:hint="eastAsia"/>
        </w:rPr>
        <w:t>各岗位人员</w:t>
      </w:r>
      <w:r>
        <w:rPr>
          <w:rFonts w:hint="eastAsia"/>
          <w:lang w:val="en-US" w:eastAsia="zh-CN"/>
        </w:rPr>
        <w:t>可参照</w:t>
      </w:r>
      <w:r>
        <w:rPr>
          <w:rFonts w:hint="eastAsia"/>
        </w:rPr>
        <w:t>下表配置，投标人根据招标人工作要求，按本表格式提交配置表。</w:t>
      </w:r>
    </w:p>
    <w:tbl>
      <w:tblPr>
        <w:tblStyle w:val="33"/>
        <w:tblW w:w="888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54"/>
        <w:gridCol w:w="2406"/>
        <w:gridCol w:w="1216"/>
        <w:gridCol w:w="794"/>
        <w:gridCol w:w="3118"/>
      </w:tblGrid>
      <w:tr w14:paraId="01D2B7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354" w:type="dxa"/>
            <w:vAlign w:val="center"/>
          </w:tcPr>
          <w:p w14:paraId="414CABF8">
            <w:pPr>
              <w:pStyle w:val="66"/>
              <w:jc w:val="center"/>
            </w:pPr>
            <w:r>
              <w:rPr>
                <w:rFonts w:hint="eastAsia"/>
              </w:rPr>
              <w:t>班组</w:t>
            </w:r>
          </w:p>
        </w:tc>
        <w:tc>
          <w:tcPr>
            <w:tcW w:w="2406" w:type="dxa"/>
            <w:vAlign w:val="center"/>
          </w:tcPr>
          <w:p w14:paraId="41FA2E7A">
            <w:pPr>
              <w:pStyle w:val="66"/>
              <w:jc w:val="center"/>
            </w:pPr>
            <w:r>
              <w:rPr>
                <w:rFonts w:hint="eastAsia"/>
              </w:rPr>
              <w:t>岗位/工种</w:t>
            </w:r>
          </w:p>
        </w:tc>
        <w:tc>
          <w:tcPr>
            <w:tcW w:w="1216" w:type="dxa"/>
            <w:vAlign w:val="center"/>
          </w:tcPr>
          <w:p w14:paraId="5E3E0EFB">
            <w:pPr>
              <w:pStyle w:val="66"/>
              <w:jc w:val="center"/>
            </w:pPr>
            <w:r>
              <w:rPr>
                <w:rFonts w:hint="eastAsia"/>
              </w:rPr>
              <w:t>招标</w:t>
            </w:r>
            <w:r>
              <w:rPr>
                <w:rFonts w:hint="eastAsia"/>
                <w:lang w:val="en-US" w:eastAsia="zh-CN"/>
              </w:rPr>
              <w:t>建议</w:t>
            </w:r>
            <w:r>
              <w:rPr>
                <w:rFonts w:hint="eastAsia"/>
              </w:rPr>
              <w:t>人数</w:t>
            </w:r>
          </w:p>
        </w:tc>
        <w:tc>
          <w:tcPr>
            <w:tcW w:w="794" w:type="dxa"/>
            <w:vAlign w:val="center"/>
          </w:tcPr>
          <w:p w14:paraId="48D91D0B">
            <w:pPr>
              <w:pStyle w:val="66"/>
              <w:jc w:val="center"/>
            </w:pPr>
            <w:r>
              <w:rPr>
                <w:rFonts w:hint="eastAsia"/>
              </w:rPr>
              <w:t>投标人数</w:t>
            </w:r>
          </w:p>
        </w:tc>
        <w:tc>
          <w:tcPr>
            <w:tcW w:w="3118" w:type="dxa"/>
            <w:vAlign w:val="center"/>
          </w:tcPr>
          <w:p w14:paraId="5F95F191">
            <w:pPr>
              <w:pStyle w:val="66"/>
              <w:jc w:val="center"/>
            </w:pPr>
            <w:r>
              <w:rPr>
                <w:rFonts w:hint="eastAsia"/>
              </w:rPr>
              <w:t>备注</w:t>
            </w:r>
          </w:p>
        </w:tc>
      </w:tr>
      <w:tr w14:paraId="6C3682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354" w:type="dxa"/>
            <w:vMerge w:val="restart"/>
            <w:vAlign w:val="center"/>
          </w:tcPr>
          <w:p w14:paraId="64A01C6D">
            <w:pPr>
              <w:pStyle w:val="66"/>
              <w:jc w:val="center"/>
            </w:pPr>
            <w:r>
              <w:rPr>
                <w:rFonts w:hint="eastAsia"/>
              </w:rPr>
              <w:t>项目部</w:t>
            </w:r>
          </w:p>
        </w:tc>
        <w:tc>
          <w:tcPr>
            <w:tcW w:w="2406" w:type="dxa"/>
            <w:vAlign w:val="center"/>
          </w:tcPr>
          <w:p w14:paraId="4A530AAA">
            <w:pPr>
              <w:pStyle w:val="66"/>
              <w:jc w:val="center"/>
              <w:rPr>
                <w:rFonts w:hint="eastAsia"/>
                <w:lang w:val="en-US" w:eastAsia="zh-CN"/>
              </w:rPr>
            </w:pPr>
            <w:r>
              <w:rPr>
                <w:rFonts w:hint="eastAsia"/>
              </w:rPr>
              <w:t>项目经理</w:t>
            </w:r>
            <w:r>
              <w:rPr>
                <w:rFonts w:hint="eastAsia"/>
                <w:lang w:val="en-US" w:eastAsia="zh-CN"/>
              </w:rPr>
              <w:t>兼</w:t>
            </w:r>
          </w:p>
          <w:p w14:paraId="1CD844EF">
            <w:pPr>
              <w:pStyle w:val="66"/>
              <w:jc w:val="center"/>
              <w:rPr>
                <w:rFonts w:hint="default" w:eastAsia="宋体"/>
                <w:lang w:val="en-US" w:eastAsia="zh-CN"/>
              </w:rPr>
            </w:pPr>
            <w:r>
              <w:rPr>
                <w:rFonts w:hint="eastAsia"/>
                <w:lang w:val="en-US" w:eastAsia="zh-CN"/>
              </w:rPr>
              <w:t>技术负责人</w:t>
            </w:r>
          </w:p>
        </w:tc>
        <w:tc>
          <w:tcPr>
            <w:tcW w:w="1216" w:type="dxa"/>
            <w:vAlign w:val="center"/>
          </w:tcPr>
          <w:p w14:paraId="494B5416">
            <w:pPr>
              <w:pStyle w:val="66"/>
              <w:jc w:val="center"/>
            </w:pPr>
            <w:r>
              <w:rPr>
                <w:rFonts w:hint="eastAsia"/>
              </w:rPr>
              <w:t>1</w:t>
            </w:r>
          </w:p>
        </w:tc>
        <w:tc>
          <w:tcPr>
            <w:tcW w:w="794" w:type="dxa"/>
            <w:vAlign w:val="center"/>
          </w:tcPr>
          <w:p w14:paraId="0C0C8E5B">
            <w:pPr>
              <w:pStyle w:val="66"/>
              <w:jc w:val="center"/>
            </w:pPr>
          </w:p>
        </w:tc>
        <w:tc>
          <w:tcPr>
            <w:tcW w:w="3118" w:type="dxa"/>
            <w:vAlign w:val="center"/>
          </w:tcPr>
          <w:p w14:paraId="62902D48">
            <w:pPr>
              <w:pStyle w:val="66"/>
              <w:jc w:val="center"/>
            </w:pPr>
          </w:p>
        </w:tc>
      </w:tr>
      <w:tr w14:paraId="4F9007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354" w:type="dxa"/>
            <w:vMerge w:val="continue"/>
            <w:shd w:val="clear" w:color="auto" w:fill="E7E6E6" w:themeFill="background2"/>
            <w:vAlign w:val="center"/>
          </w:tcPr>
          <w:p w14:paraId="3CA4BCD0">
            <w:pPr>
              <w:pStyle w:val="66"/>
              <w:jc w:val="center"/>
            </w:pPr>
          </w:p>
        </w:tc>
        <w:tc>
          <w:tcPr>
            <w:tcW w:w="2406" w:type="dxa"/>
            <w:shd w:val="clear" w:color="auto" w:fill="E7E6E6" w:themeFill="background2"/>
            <w:vAlign w:val="center"/>
          </w:tcPr>
          <w:p w14:paraId="40C3369F">
            <w:pPr>
              <w:pStyle w:val="66"/>
              <w:jc w:val="center"/>
            </w:pPr>
            <w:r>
              <w:rPr>
                <w:rFonts w:hint="eastAsia"/>
              </w:rPr>
              <w:t>合计</w:t>
            </w:r>
          </w:p>
        </w:tc>
        <w:tc>
          <w:tcPr>
            <w:tcW w:w="1216" w:type="dxa"/>
            <w:shd w:val="clear" w:color="auto" w:fill="E7E6E6" w:themeFill="background2"/>
            <w:vAlign w:val="center"/>
          </w:tcPr>
          <w:p w14:paraId="2B60A4EB">
            <w:pPr>
              <w:pStyle w:val="66"/>
              <w:jc w:val="center"/>
              <w:rPr>
                <w:rFonts w:hint="eastAsia" w:eastAsia="宋体"/>
                <w:lang w:eastAsia="zh-CN"/>
              </w:rPr>
            </w:pPr>
            <w:r>
              <w:rPr>
                <w:rFonts w:hint="eastAsia"/>
                <w:lang w:val="en-US" w:eastAsia="zh-CN"/>
              </w:rPr>
              <w:t>1</w:t>
            </w:r>
          </w:p>
        </w:tc>
        <w:tc>
          <w:tcPr>
            <w:tcW w:w="794" w:type="dxa"/>
            <w:shd w:val="clear" w:color="auto" w:fill="E7E6E6" w:themeFill="background2"/>
            <w:vAlign w:val="center"/>
          </w:tcPr>
          <w:p w14:paraId="130CBE07">
            <w:pPr>
              <w:pStyle w:val="66"/>
              <w:jc w:val="center"/>
            </w:pPr>
          </w:p>
        </w:tc>
        <w:tc>
          <w:tcPr>
            <w:tcW w:w="3118" w:type="dxa"/>
            <w:shd w:val="clear" w:color="auto" w:fill="E7E6E6" w:themeFill="background2"/>
            <w:vAlign w:val="center"/>
          </w:tcPr>
          <w:p w14:paraId="558F5366">
            <w:pPr>
              <w:pStyle w:val="66"/>
              <w:jc w:val="center"/>
            </w:pPr>
          </w:p>
        </w:tc>
      </w:tr>
      <w:tr w14:paraId="77046A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354" w:type="dxa"/>
            <w:vMerge w:val="restart"/>
            <w:vAlign w:val="center"/>
          </w:tcPr>
          <w:p w14:paraId="7A7E113E">
            <w:pPr>
              <w:pStyle w:val="66"/>
              <w:jc w:val="center"/>
            </w:pPr>
            <w:r>
              <w:rPr>
                <w:rFonts w:hint="eastAsia"/>
              </w:rPr>
              <w:t>主机班</w:t>
            </w:r>
          </w:p>
        </w:tc>
        <w:tc>
          <w:tcPr>
            <w:tcW w:w="2406" w:type="dxa"/>
            <w:vAlign w:val="center"/>
          </w:tcPr>
          <w:p w14:paraId="40C6994A">
            <w:pPr>
              <w:pStyle w:val="66"/>
              <w:jc w:val="center"/>
              <w:rPr>
                <w:rFonts w:hint="default" w:eastAsia="宋体"/>
                <w:lang w:val="en-US" w:eastAsia="zh-CN"/>
              </w:rPr>
            </w:pPr>
            <w:r>
              <w:rPr>
                <w:rFonts w:hint="eastAsia"/>
                <w:lang w:val="en-US" w:eastAsia="zh-CN"/>
              </w:rPr>
              <w:t>安全管理兼</w:t>
            </w:r>
            <w:r>
              <w:rPr>
                <w:rFonts w:hint="eastAsia"/>
              </w:rPr>
              <w:t>班长</w:t>
            </w:r>
          </w:p>
        </w:tc>
        <w:tc>
          <w:tcPr>
            <w:tcW w:w="1216" w:type="dxa"/>
            <w:vAlign w:val="center"/>
          </w:tcPr>
          <w:p w14:paraId="21721009">
            <w:pPr>
              <w:pStyle w:val="66"/>
              <w:jc w:val="center"/>
            </w:pPr>
            <w:r>
              <w:rPr>
                <w:rFonts w:hint="eastAsia"/>
              </w:rPr>
              <w:t>1</w:t>
            </w:r>
          </w:p>
        </w:tc>
        <w:tc>
          <w:tcPr>
            <w:tcW w:w="794" w:type="dxa"/>
            <w:vAlign w:val="center"/>
          </w:tcPr>
          <w:p w14:paraId="546F4404">
            <w:pPr>
              <w:pStyle w:val="66"/>
              <w:jc w:val="center"/>
            </w:pPr>
          </w:p>
        </w:tc>
        <w:tc>
          <w:tcPr>
            <w:tcW w:w="3118" w:type="dxa"/>
            <w:vAlign w:val="center"/>
          </w:tcPr>
          <w:p w14:paraId="577169DE">
            <w:pPr>
              <w:pStyle w:val="66"/>
              <w:jc w:val="center"/>
            </w:pPr>
          </w:p>
        </w:tc>
      </w:tr>
      <w:tr w14:paraId="7A957C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354" w:type="dxa"/>
            <w:vMerge w:val="continue"/>
            <w:vAlign w:val="center"/>
          </w:tcPr>
          <w:p w14:paraId="5C28BB80">
            <w:pPr>
              <w:pStyle w:val="66"/>
              <w:jc w:val="center"/>
            </w:pPr>
          </w:p>
        </w:tc>
        <w:tc>
          <w:tcPr>
            <w:tcW w:w="2406" w:type="dxa"/>
            <w:vAlign w:val="center"/>
          </w:tcPr>
          <w:p w14:paraId="6C52709A">
            <w:pPr>
              <w:pStyle w:val="66"/>
              <w:jc w:val="center"/>
            </w:pPr>
            <w:r>
              <w:rPr>
                <w:rFonts w:hint="eastAsia"/>
              </w:rPr>
              <w:t>技工（含行车司机</w:t>
            </w:r>
            <w:r>
              <w:rPr>
                <w:rFonts w:hint="eastAsia"/>
                <w:lang w:eastAsia="zh-CN"/>
              </w:rPr>
              <w:t>、</w:t>
            </w:r>
            <w:r>
              <w:rPr>
                <w:rFonts w:hint="eastAsia"/>
                <w:lang w:val="en-US" w:eastAsia="zh-CN"/>
              </w:rPr>
              <w:t>承压类</w:t>
            </w:r>
            <w:r>
              <w:rPr>
                <w:rFonts w:hint="eastAsia"/>
              </w:rPr>
              <w:t>焊工</w:t>
            </w:r>
            <w:r>
              <w:rPr>
                <w:rFonts w:hint="eastAsia"/>
                <w:lang w:val="en-US" w:eastAsia="zh-CN"/>
              </w:rPr>
              <w:t>证</w:t>
            </w:r>
            <w:r>
              <w:rPr>
                <w:rFonts w:hint="eastAsia"/>
              </w:rPr>
              <w:t>）</w:t>
            </w:r>
          </w:p>
        </w:tc>
        <w:tc>
          <w:tcPr>
            <w:tcW w:w="1216" w:type="dxa"/>
            <w:vAlign w:val="center"/>
          </w:tcPr>
          <w:p w14:paraId="4BAF4D6A">
            <w:pPr>
              <w:pStyle w:val="66"/>
              <w:jc w:val="center"/>
              <w:rPr>
                <w:rFonts w:hint="eastAsia" w:eastAsia="宋体"/>
                <w:lang w:eastAsia="zh-CN"/>
              </w:rPr>
            </w:pPr>
            <w:r>
              <w:rPr>
                <w:rFonts w:hint="eastAsia"/>
                <w:lang w:val="en-US" w:eastAsia="zh-CN"/>
              </w:rPr>
              <w:t>4</w:t>
            </w:r>
          </w:p>
        </w:tc>
        <w:tc>
          <w:tcPr>
            <w:tcW w:w="794" w:type="dxa"/>
            <w:vAlign w:val="center"/>
          </w:tcPr>
          <w:p w14:paraId="6CF1EAE1">
            <w:pPr>
              <w:pStyle w:val="66"/>
              <w:jc w:val="center"/>
            </w:pPr>
          </w:p>
        </w:tc>
        <w:tc>
          <w:tcPr>
            <w:tcW w:w="3118" w:type="dxa"/>
            <w:vAlign w:val="center"/>
          </w:tcPr>
          <w:p w14:paraId="33CC8AAC">
            <w:pPr>
              <w:pStyle w:val="66"/>
              <w:jc w:val="center"/>
            </w:pPr>
            <w:r>
              <w:rPr>
                <w:rFonts w:hint="eastAsia"/>
                <w:lang w:val="en-US" w:eastAsia="zh-CN"/>
              </w:rPr>
              <w:t>持起重机械操作证、承压类焊工证</w:t>
            </w:r>
          </w:p>
        </w:tc>
      </w:tr>
      <w:tr w14:paraId="1547DD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354" w:type="dxa"/>
            <w:vMerge w:val="continue"/>
            <w:shd w:val="clear" w:color="auto" w:fill="E7E6E6" w:themeFill="background2"/>
            <w:vAlign w:val="center"/>
          </w:tcPr>
          <w:p w14:paraId="22CA7BF9">
            <w:pPr>
              <w:pStyle w:val="66"/>
              <w:jc w:val="center"/>
            </w:pPr>
          </w:p>
        </w:tc>
        <w:tc>
          <w:tcPr>
            <w:tcW w:w="2406" w:type="dxa"/>
            <w:shd w:val="clear" w:color="auto" w:fill="E7E6E6" w:themeFill="background2"/>
            <w:vAlign w:val="center"/>
          </w:tcPr>
          <w:p w14:paraId="573C0984">
            <w:pPr>
              <w:pStyle w:val="66"/>
              <w:jc w:val="center"/>
            </w:pPr>
            <w:r>
              <w:rPr>
                <w:rFonts w:hint="eastAsia"/>
              </w:rPr>
              <w:t>合计</w:t>
            </w:r>
          </w:p>
        </w:tc>
        <w:tc>
          <w:tcPr>
            <w:tcW w:w="1216" w:type="dxa"/>
            <w:shd w:val="clear" w:color="auto" w:fill="E7E6E6" w:themeFill="background2"/>
            <w:vAlign w:val="center"/>
          </w:tcPr>
          <w:p w14:paraId="7B88032C">
            <w:pPr>
              <w:pStyle w:val="66"/>
              <w:jc w:val="center"/>
              <w:rPr>
                <w:rFonts w:hint="eastAsia" w:eastAsia="宋体"/>
                <w:lang w:eastAsia="zh-CN"/>
              </w:rPr>
            </w:pPr>
            <w:r>
              <w:rPr>
                <w:rFonts w:hint="eastAsia"/>
                <w:lang w:val="en-US" w:eastAsia="zh-CN"/>
              </w:rPr>
              <w:t>5</w:t>
            </w:r>
          </w:p>
        </w:tc>
        <w:tc>
          <w:tcPr>
            <w:tcW w:w="794" w:type="dxa"/>
            <w:shd w:val="clear" w:color="auto" w:fill="E7E6E6" w:themeFill="background2"/>
            <w:vAlign w:val="center"/>
          </w:tcPr>
          <w:p w14:paraId="7A7B7AE1">
            <w:pPr>
              <w:pStyle w:val="66"/>
              <w:jc w:val="center"/>
            </w:pPr>
          </w:p>
        </w:tc>
        <w:tc>
          <w:tcPr>
            <w:tcW w:w="3118" w:type="dxa"/>
            <w:shd w:val="clear" w:color="auto" w:fill="E7E6E6" w:themeFill="background2"/>
            <w:vAlign w:val="center"/>
          </w:tcPr>
          <w:p w14:paraId="302B1161">
            <w:pPr>
              <w:pStyle w:val="66"/>
              <w:jc w:val="center"/>
            </w:pPr>
          </w:p>
        </w:tc>
      </w:tr>
      <w:tr w14:paraId="1DC379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354" w:type="dxa"/>
            <w:vMerge w:val="restart"/>
            <w:vAlign w:val="center"/>
          </w:tcPr>
          <w:p w14:paraId="23BF1942">
            <w:pPr>
              <w:pStyle w:val="66"/>
              <w:jc w:val="center"/>
            </w:pPr>
            <w:r>
              <w:rPr>
                <w:rFonts w:hint="eastAsia"/>
                <w:lang w:val="en-US" w:eastAsia="zh-CN"/>
              </w:rPr>
              <w:t>电</w:t>
            </w:r>
            <w:r>
              <w:rPr>
                <w:rFonts w:hint="eastAsia"/>
              </w:rPr>
              <w:t>热班</w:t>
            </w:r>
          </w:p>
        </w:tc>
        <w:tc>
          <w:tcPr>
            <w:tcW w:w="2406" w:type="dxa"/>
            <w:vAlign w:val="center"/>
          </w:tcPr>
          <w:p w14:paraId="1B87EE64">
            <w:pPr>
              <w:pStyle w:val="66"/>
              <w:jc w:val="center"/>
              <w:rPr>
                <w:rFonts w:hint="default" w:eastAsia="宋体"/>
                <w:lang w:val="en-US" w:eastAsia="zh-CN"/>
              </w:rPr>
            </w:pPr>
            <w:r>
              <w:rPr>
                <w:rFonts w:hint="eastAsia"/>
                <w:lang w:val="en-US" w:eastAsia="zh-CN"/>
              </w:rPr>
              <w:t>技工</w:t>
            </w:r>
          </w:p>
        </w:tc>
        <w:tc>
          <w:tcPr>
            <w:tcW w:w="1216" w:type="dxa"/>
            <w:vAlign w:val="center"/>
          </w:tcPr>
          <w:p w14:paraId="50E1DEF5">
            <w:pPr>
              <w:pStyle w:val="66"/>
              <w:jc w:val="center"/>
              <w:rPr>
                <w:rFonts w:hint="eastAsia" w:eastAsia="宋体"/>
                <w:lang w:eastAsia="zh-CN"/>
              </w:rPr>
            </w:pPr>
            <w:r>
              <w:rPr>
                <w:rFonts w:hint="eastAsia"/>
                <w:lang w:val="en-US" w:eastAsia="zh-CN"/>
              </w:rPr>
              <w:t>3</w:t>
            </w:r>
          </w:p>
        </w:tc>
        <w:tc>
          <w:tcPr>
            <w:tcW w:w="794" w:type="dxa"/>
            <w:vAlign w:val="center"/>
          </w:tcPr>
          <w:p w14:paraId="58C232F8">
            <w:pPr>
              <w:pStyle w:val="66"/>
              <w:jc w:val="center"/>
            </w:pPr>
          </w:p>
        </w:tc>
        <w:tc>
          <w:tcPr>
            <w:tcW w:w="3118" w:type="dxa"/>
            <w:vAlign w:val="center"/>
          </w:tcPr>
          <w:p w14:paraId="3DA89D1E">
            <w:pPr>
              <w:pStyle w:val="66"/>
              <w:jc w:val="center"/>
              <w:rPr>
                <w:rFonts w:ascii="Times New Roman" w:hAnsi="Times New Roman" w:eastAsia="宋体" w:cs="Times New Roman"/>
                <w:kern w:val="2"/>
                <w:sz w:val="24"/>
                <w:szCs w:val="24"/>
                <w:lang w:val="en-US" w:eastAsia="zh-CN" w:bidi="ar-SA"/>
              </w:rPr>
            </w:pPr>
            <w:r>
              <w:rPr>
                <w:rFonts w:hint="eastAsia"/>
              </w:rPr>
              <w:t>持</w:t>
            </w:r>
            <w:r>
              <w:rPr>
                <w:rFonts w:hint="eastAsia"/>
                <w:lang w:val="en-US" w:eastAsia="zh-CN"/>
              </w:rPr>
              <w:t>高压</w:t>
            </w:r>
            <w:r>
              <w:rPr>
                <w:rFonts w:hint="eastAsia"/>
              </w:rPr>
              <w:t>电工证</w:t>
            </w:r>
          </w:p>
        </w:tc>
      </w:tr>
      <w:tr w14:paraId="7F2130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354" w:type="dxa"/>
            <w:vMerge w:val="continue"/>
            <w:shd w:val="clear" w:color="auto" w:fill="E7E6E6" w:themeFill="background2"/>
            <w:vAlign w:val="center"/>
          </w:tcPr>
          <w:p w14:paraId="041D22B2">
            <w:pPr>
              <w:pStyle w:val="66"/>
              <w:jc w:val="center"/>
            </w:pPr>
          </w:p>
        </w:tc>
        <w:tc>
          <w:tcPr>
            <w:tcW w:w="2406" w:type="dxa"/>
            <w:shd w:val="clear" w:color="auto" w:fill="E7E6E6" w:themeFill="background2"/>
            <w:vAlign w:val="center"/>
          </w:tcPr>
          <w:p w14:paraId="2DDD1804">
            <w:pPr>
              <w:pStyle w:val="66"/>
              <w:jc w:val="center"/>
            </w:pPr>
            <w:r>
              <w:rPr>
                <w:rFonts w:hint="eastAsia"/>
              </w:rPr>
              <w:t>合计</w:t>
            </w:r>
          </w:p>
        </w:tc>
        <w:tc>
          <w:tcPr>
            <w:tcW w:w="1216" w:type="dxa"/>
            <w:shd w:val="clear" w:color="auto" w:fill="E7E6E6" w:themeFill="background2"/>
            <w:vAlign w:val="center"/>
          </w:tcPr>
          <w:p w14:paraId="0766E013">
            <w:pPr>
              <w:pStyle w:val="66"/>
              <w:jc w:val="center"/>
              <w:rPr>
                <w:rFonts w:hint="eastAsia" w:eastAsia="宋体"/>
                <w:lang w:eastAsia="zh-CN"/>
              </w:rPr>
            </w:pPr>
            <w:r>
              <w:rPr>
                <w:rFonts w:hint="eastAsia"/>
                <w:lang w:val="en-US" w:eastAsia="zh-CN"/>
              </w:rPr>
              <w:t>3</w:t>
            </w:r>
          </w:p>
        </w:tc>
        <w:tc>
          <w:tcPr>
            <w:tcW w:w="794" w:type="dxa"/>
            <w:shd w:val="clear" w:color="auto" w:fill="E7E6E6" w:themeFill="background2"/>
            <w:vAlign w:val="center"/>
          </w:tcPr>
          <w:p w14:paraId="7E2E88B6">
            <w:pPr>
              <w:pStyle w:val="66"/>
              <w:jc w:val="center"/>
            </w:pPr>
          </w:p>
        </w:tc>
        <w:tc>
          <w:tcPr>
            <w:tcW w:w="3118" w:type="dxa"/>
            <w:shd w:val="clear" w:color="auto" w:fill="E7E6E6" w:themeFill="background2"/>
            <w:vAlign w:val="center"/>
          </w:tcPr>
          <w:p w14:paraId="540D3E8A">
            <w:pPr>
              <w:pStyle w:val="66"/>
              <w:jc w:val="center"/>
            </w:pPr>
          </w:p>
        </w:tc>
      </w:tr>
      <w:tr w14:paraId="5BB4B1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3760" w:type="dxa"/>
            <w:gridSpan w:val="2"/>
            <w:shd w:val="clear" w:color="auto" w:fill="E7E6E6" w:themeFill="background2"/>
            <w:vAlign w:val="center"/>
          </w:tcPr>
          <w:p w14:paraId="19E4CD95">
            <w:pPr>
              <w:pStyle w:val="66"/>
              <w:jc w:val="center"/>
            </w:pPr>
            <w:r>
              <w:rPr>
                <w:rFonts w:hint="eastAsia"/>
              </w:rPr>
              <w:t>总计</w:t>
            </w:r>
          </w:p>
        </w:tc>
        <w:tc>
          <w:tcPr>
            <w:tcW w:w="1216" w:type="dxa"/>
            <w:shd w:val="clear" w:color="auto" w:fill="E7E6E6" w:themeFill="background2"/>
            <w:vAlign w:val="center"/>
          </w:tcPr>
          <w:p w14:paraId="5CBDDD69">
            <w:pPr>
              <w:pStyle w:val="66"/>
              <w:jc w:val="center"/>
              <w:rPr>
                <w:rFonts w:hint="default" w:eastAsia="宋体"/>
                <w:lang w:val="en-US" w:eastAsia="zh-CN"/>
              </w:rPr>
            </w:pPr>
            <w:r>
              <w:rPr>
                <w:rFonts w:hint="eastAsia"/>
                <w:highlight w:val="none"/>
                <w:lang w:val="en-US" w:eastAsia="zh-CN"/>
              </w:rPr>
              <w:t>9</w:t>
            </w:r>
          </w:p>
        </w:tc>
        <w:tc>
          <w:tcPr>
            <w:tcW w:w="794" w:type="dxa"/>
            <w:shd w:val="clear" w:color="auto" w:fill="E7E6E6" w:themeFill="background2"/>
            <w:vAlign w:val="center"/>
          </w:tcPr>
          <w:p w14:paraId="7F2C636A">
            <w:pPr>
              <w:pStyle w:val="66"/>
              <w:jc w:val="center"/>
            </w:pPr>
          </w:p>
        </w:tc>
        <w:tc>
          <w:tcPr>
            <w:tcW w:w="3118" w:type="dxa"/>
            <w:shd w:val="clear" w:color="auto" w:fill="E7E6E6" w:themeFill="background2"/>
            <w:vAlign w:val="center"/>
          </w:tcPr>
          <w:p w14:paraId="26B2DC21">
            <w:pPr>
              <w:pStyle w:val="66"/>
              <w:jc w:val="left"/>
              <w:rPr>
                <w:rFonts w:hint="default" w:eastAsia="宋体"/>
                <w:lang w:val="en-US" w:eastAsia="zh-CN"/>
              </w:rPr>
            </w:pPr>
            <w:r>
              <w:rPr>
                <w:rFonts w:hint="eastAsia"/>
                <w:lang w:val="en-US" w:eastAsia="zh-CN"/>
              </w:rPr>
              <w:t>现场工作人员每天不少于5人（重大缺陷处理、应急抢修等除外），其中：白天不少于3人（机务兼化水、电气、热控各1人），值班（含周末、节假日及夜间）不少于2人，特殊情况应保证调剂人员在2小时内到位</w:t>
            </w:r>
          </w:p>
        </w:tc>
      </w:tr>
    </w:tbl>
    <w:p w14:paraId="0E78990D">
      <w:pPr>
        <w:pStyle w:val="4"/>
        <w:rPr>
          <w:b w:val="0"/>
          <w:bCs w:val="0"/>
          <w:highlight w:val="none"/>
        </w:rPr>
      </w:pPr>
      <w:bookmarkStart w:id="14" w:name="_Toc27327"/>
      <w:r>
        <w:rPr>
          <w:rFonts w:hint="eastAsia"/>
          <w:b w:val="0"/>
          <w:bCs w:val="0"/>
          <w:highlight w:val="none"/>
        </w:rPr>
        <w:t>投标</w:t>
      </w:r>
      <w:r>
        <w:rPr>
          <w:b w:val="0"/>
          <w:bCs w:val="0"/>
          <w:highlight w:val="none"/>
        </w:rPr>
        <w:t>时</w:t>
      </w:r>
      <w:r>
        <w:rPr>
          <w:rFonts w:hint="eastAsia"/>
          <w:b w:val="0"/>
          <w:bCs w:val="0"/>
          <w:highlight w:val="none"/>
        </w:rPr>
        <w:t>应提供的资料</w:t>
      </w:r>
      <w:bookmarkEnd w:id="14"/>
    </w:p>
    <w:p w14:paraId="53397334">
      <w:pPr>
        <w:pStyle w:val="6"/>
        <w:rPr>
          <w:highlight w:val="none"/>
        </w:rPr>
      </w:pPr>
      <w:r>
        <w:rPr>
          <w:rFonts w:hint="eastAsia"/>
          <w:highlight w:val="none"/>
        </w:rPr>
        <w:t>投标人</w:t>
      </w:r>
      <w:r>
        <w:rPr>
          <w:highlight w:val="none"/>
        </w:rPr>
        <w:t>用于本项目的</w:t>
      </w:r>
      <w:r>
        <w:rPr>
          <w:rFonts w:hint="eastAsia"/>
          <w:highlight w:val="none"/>
        </w:rPr>
        <w:t>维保方案、安全体系、质量体系、管理制度、主要设备的检修维护文件包。</w:t>
      </w:r>
    </w:p>
    <w:p w14:paraId="6E949459">
      <w:pPr>
        <w:pStyle w:val="6"/>
      </w:pPr>
      <w:r>
        <w:rPr>
          <w:rFonts w:hint="eastAsia"/>
        </w:rPr>
        <w:t>投标人拟</w:t>
      </w:r>
      <w:r>
        <w:t>投入到本项目的</w:t>
      </w:r>
      <w:r>
        <w:rPr>
          <w:rFonts w:hint="eastAsia"/>
        </w:rPr>
        <w:t>施工</w:t>
      </w:r>
      <w:r>
        <w:t>机具、</w:t>
      </w:r>
      <w:r>
        <w:rPr>
          <w:rFonts w:hint="eastAsia"/>
        </w:rPr>
        <w:t>工器具、安全用具及安全防护设施、常备易耗品清单及数量。空白处由投标方填写，</w:t>
      </w:r>
      <w:r>
        <w:rPr>
          <w:rFonts w:hint="eastAsia"/>
          <w:kern w:val="0"/>
          <w:szCs w:val="21"/>
        </w:rPr>
        <w:t>可根据实际情况添加内容，</w:t>
      </w:r>
      <w:r>
        <w:rPr>
          <w:rFonts w:hint="eastAsia"/>
        </w:rPr>
        <w:t>表后可增加行。</w:t>
      </w:r>
    </w:p>
    <w:p w14:paraId="3937BE9A">
      <w:pPr>
        <w:pStyle w:val="7"/>
      </w:pPr>
      <w:r>
        <w:rPr>
          <w:rFonts w:hint="eastAsia"/>
        </w:rPr>
        <w:t>安全工器具</w:t>
      </w:r>
      <w:r>
        <w:rPr>
          <w:rFonts w:hint="eastAsia"/>
          <w:lang w:val="en-US" w:eastAsia="zh-CN"/>
        </w:rPr>
        <w:t>可参考下表配置（最终以投标人满足现场需要为准）</w:t>
      </w:r>
    </w:p>
    <w:tbl>
      <w:tblPr>
        <w:tblStyle w:val="32"/>
        <w:tblW w:w="829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63"/>
        <w:gridCol w:w="1785"/>
        <w:gridCol w:w="1060"/>
        <w:gridCol w:w="1706"/>
        <w:gridCol w:w="1364"/>
        <w:gridCol w:w="1818"/>
      </w:tblGrid>
      <w:tr w14:paraId="7E2A55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blHeader/>
          <w:jc w:val="center"/>
        </w:trPr>
        <w:tc>
          <w:tcPr>
            <w:tcW w:w="563" w:type="dxa"/>
            <w:tcBorders>
              <w:top w:val="single" w:color="auto" w:sz="4" w:space="0"/>
              <w:left w:val="single" w:color="auto" w:sz="4" w:space="0"/>
              <w:bottom w:val="single" w:color="auto" w:sz="4" w:space="0"/>
              <w:right w:val="single" w:color="auto" w:sz="4" w:space="0"/>
            </w:tcBorders>
            <w:vAlign w:val="center"/>
          </w:tcPr>
          <w:p w14:paraId="1899EEEA">
            <w:pPr>
              <w:jc w:val="center"/>
              <w:rPr>
                <w:rFonts w:ascii="宋体" w:hAnsi="宋体" w:cs="宋体"/>
                <w:b/>
                <w:bCs/>
                <w:szCs w:val="21"/>
              </w:rPr>
            </w:pPr>
            <w:r>
              <w:rPr>
                <w:rFonts w:hint="eastAsia" w:ascii="宋体" w:hAnsi="宋体" w:cs="宋体"/>
                <w:b/>
                <w:bCs/>
                <w:szCs w:val="21"/>
              </w:rPr>
              <w:t>序</w:t>
            </w:r>
          </w:p>
          <w:p w14:paraId="76EF2A44">
            <w:pPr>
              <w:jc w:val="center"/>
              <w:rPr>
                <w:rFonts w:ascii="宋体" w:hAnsi="宋体" w:cs="宋体"/>
                <w:b/>
                <w:bCs/>
                <w:szCs w:val="21"/>
              </w:rPr>
            </w:pPr>
            <w:r>
              <w:rPr>
                <w:rFonts w:hint="eastAsia" w:ascii="宋体" w:hAnsi="宋体" w:cs="宋体"/>
                <w:b/>
                <w:bCs/>
                <w:szCs w:val="21"/>
              </w:rPr>
              <w:t>号</w:t>
            </w:r>
          </w:p>
        </w:tc>
        <w:tc>
          <w:tcPr>
            <w:tcW w:w="1785" w:type="dxa"/>
            <w:tcBorders>
              <w:top w:val="single" w:color="auto" w:sz="4" w:space="0"/>
              <w:left w:val="single" w:color="auto" w:sz="4" w:space="0"/>
              <w:bottom w:val="single" w:color="auto" w:sz="4" w:space="0"/>
              <w:right w:val="single" w:color="auto" w:sz="4" w:space="0"/>
            </w:tcBorders>
            <w:vAlign w:val="center"/>
          </w:tcPr>
          <w:p w14:paraId="6F5D33FF">
            <w:pPr>
              <w:jc w:val="center"/>
              <w:rPr>
                <w:rFonts w:ascii="宋体" w:hAnsi="宋体" w:cs="宋体"/>
                <w:b/>
                <w:bCs/>
                <w:szCs w:val="21"/>
              </w:rPr>
            </w:pPr>
            <w:r>
              <w:rPr>
                <w:rFonts w:hint="eastAsia" w:ascii="宋体" w:hAnsi="宋体" w:cs="宋体"/>
                <w:b/>
                <w:bCs/>
                <w:szCs w:val="21"/>
              </w:rPr>
              <w:t>名称</w:t>
            </w:r>
          </w:p>
        </w:tc>
        <w:tc>
          <w:tcPr>
            <w:tcW w:w="1060" w:type="dxa"/>
            <w:tcBorders>
              <w:top w:val="single" w:color="auto" w:sz="4" w:space="0"/>
              <w:left w:val="single" w:color="auto" w:sz="4" w:space="0"/>
              <w:bottom w:val="single" w:color="auto" w:sz="4" w:space="0"/>
              <w:right w:val="single" w:color="auto" w:sz="4" w:space="0"/>
            </w:tcBorders>
            <w:vAlign w:val="center"/>
          </w:tcPr>
          <w:p w14:paraId="77A53450">
            <w:pPr>
              <w:jc w:val="center"/>
              <w:rPr>
                <w:rFonts w:ascii="宋体" w:hAnsi="宋体" w:cs="宋体"/>
                <w:b/>
                <w:bCs/>
                <w:szCs w:val="21"/>
              </w:rPr>
            </w:pPr>
            <w:r>
              <w:rPr>
                <w:rFonts w:hint="eastAsia" w:ascii="宋体" w:hAnsi="宋体" w:cs="宋体"/>
                <w:b/>
                <w:bCs/>
                <w:szCs w:val="21"/>
              </w:rPr>
              <w:t>规格型号</w:t>
            </w:r>
          </w:p>
        </w:tc>
        <w:tc>
          <w:tcPr>
            <w:tcW w:w="1706" w:type="dxa"/>
            <w:tcBorders>
              <w:top w:val="single" w:color="auto" w:sz="4" w:space="0"/>
              <w:left w:val="single" w:color="auto" w:sz="4" w:space="0"/>
              <w:bottom w:val="single" w:color="auto" w:sz="4" w:space="0"/>
              <w:right w:val="single" w:color="auto" w:sz="4" w:space="0"/>
            </w:tcBorders>
            <w:vAlign w:val="center"/>
          </w:tcPr>
          <w:p w14:paraId="656D9050">
            <w:pPr>
              <w:jc w:val="center"/>
              <w:rPr>
                <w:rFonts w:ascii="宋体" w:hAnsi="宋体" w:cs="宋体"/>
                <w:b/>
                <w:bCs/>
                <w:szCs w:val="21"/>
              </w:rPr>
            </w:pPr>
            <w:r>
              <w:rPr>
                <w:rFonts w:hint="eastAsia" w:ascii="宋体" w:hAnsi="宋体" w:cs="宋体"/>
                <w:b/>
                <w:bCs/>
                <w:szCs w:val="21"/>
              </w:rPr>
              <w:t>招标数量要求</w:t>
            </w:r>
          </w:p>
          <w:p w14:paraId="194D9189">
            <w:pPr>
              <w:jc w:val="center"/>
              <w:rPr>
                <w:rFonts w:ascii="宋体" w:hAnsi="宋体" w:cs="宋体"/>
                <w:b/>
                <w:bCs/>
                <w:szCs w:val="21"/>
              </w:rPr>
            </w:pPr>
            <w:r>
              <w:rPr>
                <w:rFonts w:hint="eastAsia" w:ascii="宋体" w:hAnsi="宋体" w:cs="宋体"/>
                <w:b/>
                <w:bCs/>
                <w:szCs w:val="21"/>
              </w:rPr>
              <w:t>(套/台)</w:t>
            </w:r>
          </w:p>
        </w:tc>
        <w:tc>
          <w:tcPr>
            <w:tcW w:w="1364" w:type="dxa"/>
            <w:tcBorders>
              <w:top w:val="single" w:color="auto" w:sz="4" w:space="0"/>
              <w:left w:val="single" w:color="auto" w:sz="4" w:space="0"/>
              <w:bottom w:val="single" w:color="auto" w:sz="4" w:space="0"/>
              <w:right w:val="single" w:color="auto" w:sz="4" w:space="0"/>
            </w:tcBorders>
          </w:tcPr>
          <w:p w14:paraId="11D72816">
            <w:pPr>
              <w:ind w:firstLine="211" w:firstLineChars="100"/>
              <w:jc w:val="center"/>
              <w:rPr>
                <w:rFonts w:ascii="宋体" w:hAnsi="宋体" w:cs="宋体"/>
                <w:b/>
                <w:bCs/>
                <w:szCs w:val="21"/>
              </w:rPr>
            </w:pPr>
            <w:r>
              <w:rPr>
                <w:rFonts w:hint="eastAsia" w:ascii="宋体" w:hAnsi="宋体" w:cs="宋体"/>
                <w:b/>
                <w:bCs/>
                <w:szCs w:val="21"/>
              </w:rPr>
              <w:t>投标数量</w:t>
            </w:r>
          </w:p>
          <w:p w14:paraId="3B7FA49F">
            <w:pPr>
              <w:ind w:firstLine="211" w:firstLineChars="100"/>
              <w:jc w:val="center"/>
              <w:rPr>
                <w:rFonts w:ascii="宋体" w:hAnsi="宋体" w:cs="宋体"/>
                <w:b/>
                <w:bCs/>
                <w:szCs w:val="21"/>
              </w:rPr>
            </w:pPr>
            <w:r>
              <w:rPr>
                <w:rFonts w:hint="eastAsia" w:ascii="宋体" w:hAnsi="宋体" w:cs="宋体"/>
                <w:b/>
                <w:bCs/>
                <w:szCs w:val="21"/>
              </w:rPr>
              <w:t>(套/台)</w:t>
            </w:r>
          </w:p>
        </w:tc>
        <w:tc>
          <w:tcPr>
            <w:tcW w:w="1818" w:type="dxa"/>
            <w:tcBorders>
              <w:top w:val="single" w:color="auto" w:sz="4" w:space="0"/>
              <w:left w:val="single" w:color="auto" w:sz="4" w:space="0"/>
              <w:bottom w:val="single" w:color="auto" w:sz="4" w:space="0"/>
              <w:right w:val="single" w:color="auto" w:sz="4" w:space="0"/>
            </w:tcBorders>
            <w:vAlign w:val="center"/>
          </w:tcPr>
          <w:p w14:paraId="771EFD46">
            <w:pPr>
              <w:ind w:firstLine="211" w:firstLineChars="100"/>
              <w:jc w:val="center"/>
              <w:rPr>
                <w:rFonts w:ascii="宋体" w:hAnsi="宋体" w:cs="宋体"/>
                <w:b/>
                <w:bCs/>
                <w:szCs w:val="21"/>
              </w:rPr>
            </w:pPr>
            <w:r>
              <w:rPr>
                <w:rFonts w:hint="eastAsia" w:ascii="宋体" w:hAnsi="宋体" w:cs="宋体"/>
                <w:b/>
                <w:bCs/>
                <w:szCs w:val="21"/>
              </w:rPr>
              <w:t>备注</w:t>
            </w:r>
          </w:p>
        </w:tc>
      </w:tr>
      <w:tr w14:paraId="1D6040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63" w:type="dxa"/>
            <w:tcBorders>
              <w:top w:val="single" w:color="auto" w:sz="4" w:space="0"/>
              <w:left w:val="single" w:color="auto" w:sz="4" w:space="0"/>
              <w:bottom w:val="single" w:color="auto" w:sz="4" w:space="0"/>
              <w:right w:val="single" w:color="auto" w:sz="4" w:space="0"/>
            </w:tcBorders>
            <w:vAlign w:val="center"/>
          </w:tcPr>
          <w:p w14:paraId="71B3367E">
            <w:pPr>
              <w:jc w:val="center"/>
              <w:rPr>
                <w:rFonts w:ascii="宋体" w:hAnsi="宋体" w:cs="宋体"/>
                <w:bCs/>
                <w:szCs w:val="21"/>
              </w:rPr>
            </w:pPr>
            <w:r>
              <w:rPr>
                <w:rFonts w:hint="eastAsia" w:ascii="宋体" w:hAnsi="宋体" w:cs="宋体"/>
                <w:bCs/>
                <w:szCs w:val="21"/>
              </w:rPr>
              <w:t>1</w:t>
            </w:r>
          </w:p>
        </w:tc>
        <w:tc>
          <w:tcPr>
            <w:tcW w:w="1785" w:type="dxa"/>
            <w:tcBorders>
              <w:top w:val="single" w:color="auto" w:sz="4" w:space="0"/>
              <w:left w:val="single" w:color="auto" w:sz="4" w:space="0"/>
              <w:bottom w:val="single" w:color="auto" w:sz="4" w:space="0"/>
              <w:right w:val="single" w:color="auto" w:sz="4" w:space="0"/>
            </w:tcBorders>
            <w:vAlign w:val="center"/>
          </w:tcPr>
          <w:p w14:paraId="53D8137E">
            <w:pPr>
              <w:ind w:right="15" w:rightChars="7"/>
              <w:rPr>
                <w:rFonts w:ascii="宋体" w:hAnsi="宋体" w:cs="宋体"/>
                <w:szCs w:val="21"/>
              </w:rPr>
            </w:pPr>
            <w:r>
              <w:rPr>
                <w:rFonts w:hint="eastAsia" w:ascii="宋体" w:hAnsi="宋体" w:cs="宋体"/>
                <w:szCs w:val="21"/>
              </w:rPr>
              <w:t>正压呼吸器</w:t>
            </w:r>
          </w:p>
        </w:tc>
        <w:tc>
          <w:tcPr>
            <w:tcW w:w="1060" w:type="dxa"/>
            <w:tcBorders>
              <w:top w:val="single" w:color="auto" w:sz="4" w:space="0"/>
              <w:left w:val="single" w:color="auto" w:sz="4" w:space="0"/>
              <w:bottom w:val="single" w:color="auto" w:sz="4" w:space="0"/>
              <w:right w:val="single" w:color="auto" w:sz="4" w:space="0"/>
            </w:tcBorders>
            <w:vAlign w:val="center"/>
          </w:tcPr>
          <w:p w14:paraId="1251BA93">
            <w:pPr>
              <w:tabs>
                <w:tab w:val="left" w:pos="4102"/>
                <w:tab w:val="right" w:pos="4402"/>
              </w:tabs>
              <w:jc w:val="center"/>
              <w:rPr>
                <w:rFonts w:ascii="宋体" w:hAnsi="宋体" w:cs="宋体"/>
                <w:szCs w:val="21"/>
              </w:rPr>
            </w:pPr>
          </w:p>
        </w:tc>
        <w:tc>
          <w:tcPr>
            <w:tcW w:w="1706" w:type="dxa"/>
            <w:tcBorders>
              <w:top w:val="single" w:color="auto" w:sz="4" w:space="0"/>
              <w:left w:val="single" w:color="auto" w:sz="4" w:space="0"/>
              <w:bottom w:val="single" w:color="auto" w:sz="4" w:space="0"/>
              <w:right w:val="single" w:color="auto" w:sz="4" w:space="0"/>
            </w:tcBorders>
            <w:vAlign w:val="center"/>
          </w:tcPr>
          <w:p w14:paraId="2C0F49EB">
            <w:pPr>
              <w:tabs>
                <w:tab w:val="left" w:pos="4960"/>
                <w:tab w:val="left" w:pos="5247"/>
              </w:tabs>
              <w:ind w:right="15" w:rightChars="7"/>
              <w:jc w:val="center"/>
              <w:rPr>
                <w:rFonts w:ascii="宋体" w:hAnsi="宋体" w:cs="宋体"/>
                <w:szCs w:val="21"/>
              </w:rPr>
            </w:pPr>
            <w:r>
              <w:rPr>
                <w:rFonts w:hint="eastAsia" w:ascii="宋体" w:hAnsi="宋体" w:cs="宋体"/>
                <w:szCs w:val="21"/>
                <w:lang w:val="en-US" w:eastAsia="zh-CN"/>
              </w:rPr>
              <w:t>1</w:t>
            </w:r>
            <w:r>
              <w:rPr>
                <w:rFonts w:hint="eastAsia" w:ascii="宋体" w:hAnsi="宋体" w:cs="宋体"/>
                <w:szCs w:val="21"/>
              </w:rPr>
              <w:t>台</w:t>
            </w:r>
          </w:p>
        </w:tc>
        <w:tc>
          <w:tcPr>
            <w:tcW w:w="1364" w:type="dxa"/>
            <w:tcBorders>
              <w:top w:val="single" w:color="auto" w:sz="4" w:space="0"/>
              <w:left w:val="single" w:color="auto" w:sz="4" w:space="0"/>
              <w:bottom w:val="single" w:color="auto" w:sz="4" w:space="0"/>
              <w:right w:val="single" w:color="auto" w:sz="4" w:space="0"/>
            </w:tcBorders>
          </w:tcPr>
          <w:p w14:paraId="416F52BF">
            <w:pPr>
              <w:jc w:val="center"/>
              <w:rPr>
                <w:rFonts w:ascii="宋体" w:hAnsi="宋体" w:cs="宋体"/>
                <w:bCs/>
                <w:szCs w:val="21"/>
              </w:rPr>
            </w:pPr>
          </w:p>
        </w:tc>
        <w:tc>
          <w:tcPr>
            <w:tcW w:w="1818" w:type="dxa"/>
            <w:tcBorders>
              <w:top w:val="single" w:color="auto" w:sz="4" w:space="0"/>
              <w:left w:val="single" w:color="auto" w:sz="4" w:space="0"/>
              <w:bottom w:val="single" w:color="auto" w:sz="4" w:space="0"/>
              <w:right w:val="single" w:color="auto" w:sz="4" w:space="0"/>
            </w:tcBorders>
            <w:vAlign w:val="center"/>
          </w:tcPr>
          <w:p w14:paraId="36C063BC">
            <w:pPr>
              <w:rPr>
                <w:rFonts w:ascii="宋体" w:hAnsi="宋体" w:cs="宋体"/>
                <w:bCs/>
                <w:szCs w:val="21"/>
              </w:rPr>
            </w:pPr>
          </w:p>
        </w:tc>
      </w:tr>
      <w:tr w14:paraId="1A7F11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63" w:type="dxa"/>
            <w:tcBorders>
              <w:top w:val="single" w:color="auto" w:sz="4" w:space="0"/>
              <w:left w:val="single" w:color="auto" w:sz="4" w:space="0"/>
              <w:bottom w:val="single" w:color="auto" w:sz="4" w:space="0"/>
              <w:right w:val="single" w:color="auto" w:sz="4" w:space="0"/>
            </w:tcBorders>
            <w:vAlign w:val="center"/>
          </w:tcPr>
          <w:p w14:paraId="0C03B744">
            <w:pPr>
              <w:jc w:val="center"/>
              <w:rPr>
                <w:rFonts w:ascii="宋体" w:hAnsi="宋体" w:cs="宋体"/>
                <w:bCs/>
                <w:szCs w:val="21"/>
              </w:rPr>
            </w:pPr>
            <w:r>
              <w:rPr>
                <w:rFonts w:hint="eastAsia" w:ascii="宋体" w:hAnsi="宋体" w:cs="宋体"/>
                <w:bCs/>
                <w:szCs w:val="21"/>
              </w:rPr>
              <w:t>2</w:t>
            </w:r>
          </w:p>
        </w:tc>
        <w:tc>
          <w:tcPr>
            <w:tcW w:w="1785" w:type="dxa"/>
            <w:tcBorders>
              <w:top w:val="single" w:color="auto" w:sz="4" w:space="0"/>
              <w:left w:val="single" w:color="auto" w:sz="4" w:space="0"/>
              <w:bottom w:val="single" w:color="auto" w:sz="4" w:space="0"/>
              <w:right w:val="single" w:color="auto" w:sz="4" w:space="0"/>
            </w:tcBorders>
            <w:vAlign w:val="center"/>
          </w:tcPr>
          <w:p w14:paraId="222AD8B6">
            <w:pPr>
              <w:tabs>
                <w:tab w:val="left" w:pos="4102"/>
                <w:tab w:val="right" w:pos="4402"/>
              </w:tabs>
              <w:rPr>
                <w:rFonts w:ascii="宋体" w:hAnsi="宋体" w:cs="宋体"/>
                <w:szCs w:val="21"/>
              </w:rPr>
            </w:pPr>
            <w:r>
              <w:rPr>
                <w:rFonts w:hint="eastAsia" w:ascii="宋体" w:hAnsi="宋体" w:cs="宋体"/>
                <w:szCs w:val="21"/>
              </w:rPr>
              <w:t>长管呼吸器</w:t>
            </w:r>
          </w:p>
        </w:tc>
        <w:tc>
          <w:tcPr>
            <w:tcW w:w="1060" w:type="dxa"/>
            <w:tcBorders>
              <w:top w:val="single" w:color="auto" w:sz="4" w:space="0"/>
              <w:left w:val="single" w:color="auto" w:sz="4" w:space="0"/>
              <w:bottom w:val="single" w:color="auto" w:sz="4" w:space="0"/>
              <w:right w:val="single" w:color="auto" w:sz="4" w:space="0"/>
            </w:tcBorders>
            <w:vAlign w:val="center"/>
          </w:tcPr>
          <w:p w14:paraId="6A3206D7">
            <w:pPr>
              <w:tabs>
                <w:tab w:val="left" w:pos="4102"/>
                <w:tab w:val="right" w:pos="4402"/>
              </w:tabs>
              <w:jc w:val="center"/>
              <w:rPr>
                <w:rFonts w:ascii="宋体" w:hAnsi="宋体" w:cs="宋体"/>
                <w:szCs w:val="21"/>
              </w:rPr>
            </w:pPr>
          </w:p>
        </w:tc>
        <w:tc>
          <w:tcPr>
            <w:tcW w:w="1706" w:type="dxa"/>
            <w:tcBorders>
              <w:top w:val="single" w:color="auto" w:sz="4" w:space="0"/>
              <w:left w:val="single" w:color="auto" w:sz="4" w:space="0"/>
              <w:bottom w:val="single" w:color="auto" w:sz="4" w:space="0"/>
              <w:right w:val="single" w:color="auto" w:sz="4" w:space="0"/>
            </w:tcBorders>
            <w:vAlign w:val="center"/>
          </w:tcPr>
          <w:p w14:paraId="2D509964">
            <w:pPr>
              <w:tabs>
                <w:tab w:val="left" w:pos="4102"/>
                <w:tab w:val="right" w:pos="4402"/>
              </w:tabs>
              <w:jc w:val="center"/>
              <w:rPr>
                <w:rFonts w:ascii="宋体" w:hAnsi="宋体" w:cs="宋体"/>
                <w:szCs w:val="21"/>
              </w:rPr>
            </w:pPr>
            <w:r>
              <w:rPr>
                <w:rFonts w:hint="eastAsia" w:ascii="宋体" w:hAnsi="宋体" w:cs="宋体"/>
                <w:szCs w:val="21"/>
                <w:lang w:val="en-US" w:eastAsia="zh-CN"/>
              </w:rPr>
              <w:t>1</w:t>
            </w:r>
            <w:r>
              <w:rPr>
                <w:rFonts w:hint="eastAsia" w:ascii="宋体" w:hAnsi="宋体" w:cs="宋体"/>
                <w:szCs w:val="21"/>
              </w:rPr>
              <w:t>台</w:t>
            </w:r>
          </w:p>
        </w:tc>
        <w:tc>
          <w:tcPr>
            <w:tcW w:w="1364" w:type="dxa"/>
            <w:tcBorders>
              <w:top w:val="single" w:color="auto" w:sz="4" w:space="0"/>
              <w:left w:val="single" w:color="auto" w:sz="4" w:space="0"/>
              <w:bottom w:val="single" w:color="auto" w:sz="4" w:space="0"/>
              <w:right w:val="single" w:color="auto" w:sz="4" w:space="0"/>
            </w:tcBorders>
          </w:tcPr>
          <w:p w14:paraId="6BCA24DF">
            <w:pPr>
              <w:ind w:firstLine="210" w:firstLineChars="100"/>
              <w:jc w:val="center"/>
              <w:rPr>
                <w:rFonts w:ascii="宋体" w:hAnsi="宋体" w:cs="宋体"/>
                <w:szCs w:val="21"/>
              </w:rPr>
            </w:pPr>
          </w:p>
        </w:tc>
        <w:tc>
          <w:tcPr>
            <w:tcW w:w="1818" w:type="dxa"/>
            <w:tcBorders>
              <w:top w:val="single" w:color="auto" w:sz="4" w:space="0"/>
              <w:left w:val="single" w:color="auto" w:sz="4" w:space="0"/>
              <w:bottom w:val="single" w:color="auto" w:sz="4" w:space="0"/>
              <w:right w:val="single" w:color="auto" w:sz="4" w:space="0"/>
            </w:tcBorders>
            <w:vAlign w:val="center"/>
          </w:tcPr>
          <w:p w14:paraId="7189909E">
            <w:pPr>
              <w:rPr>
                <w:rFonts w:ascii="宋体" w:hAnsi="宋体" w:cs="宋体"/>
                <w:bCs/>
                <w:szCs w:val="21"/>
              </w:rPr>
            </w:pPr>
            <w:r>
              <w:rPr>
                <w:rFonts w:hint="eastAsia" w:ascii="宋体" w:hAnsi="宋体" w:cs="宋体"/>
                <w:bCs/>
                <w:szCs w:val="21"/>
              </w:rPr>
              <w:t>双管式</w:t>
            </w:r>
          </w:p>
        </w:tc>
      </w:tr>
      <w:tr w14:paraId="26B74A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63" w:type="dxa"/>
            <w:tcBorders>
              <w:top w:val="single" w:color="auto" w:sz="4" w:space="0"/>
              <w:left w:val="single" w:color="auto" w:sz="4" w:space="0"/>
              <w:bottom w:val="single" w:color="auto" w:sz="4" w:space="0"/>
              <w:right w:val="single" w:color="auto" w:sz="4" w:space="0"/>
            </w:tcBorders>
            <w:vAlign w:val="center"/>
          </w:tcPr>
          <w:p w14:paraId="7EA05D8F">
            <w:pPr>
              <w:jc w:val="center"/>
              <w:rPr>
                <w:rFonts w:hint="eastAsia" w:ascii="宋体" w:hAnsi="宋体" w:eastAsia="宋体" w:cs="宋体"/>
                <w:bCs/>
                <w:szCs w:val="21"/>
                <w:lang w:eastAsia="zh-CN"/>
              </w:rPr>
            </w:pPr>
            <w:r>
              <w:rPr>
                <w:rFonts w:hint="eastAsia" w:ascii="宋体" w:hAnsi="宋体" w:cs="宋体"/>
                <w:bCs/>
                <w:szCs w:val="21"/>
                <w:lang w:val="en-US" w:eastAsia="zh-CN"/>
              </w:rPr>
              <w:t>3</w:t>
            </w:r>
          </w:p>
        </w:tc>
        <w:tc>
          <w:tcPr>
            <w:tcW w:w="1785" w:type="dxa"/>
            <w:tcBorders>
              <w:top w:val="single" w:color="auto" w:sz="4" w:space="0"/>
              <w:left w:val="single" w:color="auto" w:sz="4" w:space="0"/>
              <w:bottom w:val="single" w:color="auto" w:sz="4" w:space="0"/>
              <w:right w:val="single" w:color="auto" w:sz="4" w:space="0"/>
            </w:tcBorders>
            <w:vAlign w:val="center"/>
          </w:tcPr>
          <w:p w14:paraId="4FB578DD">
            <w:pPr>
              <w:rPr>
                <w:rFonts w:ascii="宋体" w:hAnsi="宋体" w:cs="宋体"/>
                <w:szCs w:val="21"/>
              </w:rPr>
            </w:pPr>
            <w:r>
              <w:rPr>
                <w:rFonts w:hint="eastAsia" w:ascii="宋体" w:hAnsi="宋体" w:cs="宋体"/>
                <w:szCs w:val="21"/>
              </w:rPr>
              <w:t>轴流通风机及风管</w:t>
            </w:r>
          </w:p>
        </w:tc>
        <w:tc>
          <w:tcPr>
            <w:tcW w:w="1060" w:type="dxa"/>
            <w:tcBorders>
              <w:top w:val="single" w:color="auto" w:sz="4" w:space="0"/>
              <w:left w:val="single" w:color="auto" w:sz="4" w:space="0"/>
              <w:bottom w:val="single" w:color="auto" w:sz="4" w:space="0"/>
              <w:right w:val="single" w:color="auto" w:sz="4" w:space="0"/>
            </w:tcBorders>
            <w:vAlign w:val="center"/>
          </w:tcPr>
          <w:p w14:paraId="5DEC371A">
            <w:pPr>
              <w:jc w:val="center"/>
              <w:rPr>
                <w:rFonts w:ascii="宋体" w:hAnsi="宋体" w:cs="宋体"/>
                <w:szCs w:val="21"/>
              </w:rPr>
            </w:pPr>
          </w:p>
        </w:tc>
        <w:tc>
          <w:tcPr>
            <w:tcW w:w="1706" w:type="dxa"/>
            <w:tcBorders>
              <w:top w:val="single" w:color="auto" w:sz="4" w:space="0"/>
              <w:left w:val="single" w:color="auto" w:sz="4" w:space="0"/>
              <w:bottom w:val="single" w:color="auto" w:sz="4" w:space="0"/>
              <w:right w:val="single" w:color="auto" w:sz="4" w:space="0"/>
            </w:tcBorders>
            <w:vAlign w:val="center"/>
          </w:tcPr>
          <w:p w14:paraId="649D910C">
            <w:pPr>
              <w:jc w:val="center"/>
              <w:rPr>
                <w:rFonts w:ascii="宋体" w:hAnsi="宋体" w:cs="宋体"/>
                <w:szCs w:val="21"/>
              </w:rPr>
            </w:pPr>
            <w:r>
              <w:rPr>
                <w:rFonts w:hint="eastAsia" w:ascii="宋体" w:hAnsi="宋体" w:cs="宋体"/>
                <w:szCs w:val="21"/>
                <w:lang w:val="en-US" w:eastAsia="zh-CN"/>
              </w:rPr>
              <w:t>2</w:t>
            </w:r>
            <w:r>
              <w:rPr>
                <w:rFonts w:hint="eastAsia" w:ascii="宋体" w:hAnsi="宋体" w:cs="宋体"/>
                <w:szCs w:val="21"/>
              </w:rPr>
              <w:t>套</w:t>
            </w:r>
          </w:p>
        </w:tc>
        <w:tc>
          <w:tcPr>
            <w:tcW w:w="1364" w:type="dxa"/>
            <w:tcBorders>
              <w:top w:val="single" w:color="auto" w:sz="4" w:space="0"/>
              <w:left w:val="single" w:color="auto" w:sz="4" w:space="0"/>
              <w:bottom w:val="single" w:color="auto" w:sz="4" w:space="0"/>
              <w:right w:val="single" w:color="auto" w:sz="4" w:space="0"/>
            </w:tcBorders>
          </w:tcPr>
          <w:p w14:paraId="03260B7C">
            <w:pPr>
              <w:jc w:val="center"/>
              <w:rPr>
                <w:rFonts w:ascii="宋体" w:hAnsi="宋体" w:cs="宋体"/>
                <w:bCs/>
                <w:szCs w:val="21"/>
              </w:rPr>
            </w:pPr>
          </w:p>
        </w:tc>
        <w:tc>
          <w:tcPr>
            <w:tcW w:w="1818" w:type="dxa"/>
            <w:tcBorders>
              <w:top w:val="single" w:color="auto" w:sz="4" w:space="0"/>
              <w:left w:val="single" w:color="auto" w:sz="4" w:space="0"/>
              <w:bottom w:val="single" w:color="auto" w:sz="4" w:space="0"/>
              <w:right w:val="single" w:color="auto" w:sz="4" w:space="0"/>
            </w:tcBorders>
            <w:vAlign w:val="center"/>
          </w:tcPr>
          <w:p w14:paraId="6EE926F5">
            <w:pPr>
              <w:jc w:val="center"/>
              <w:rPr>
                <w:rFonts w:ascii="宋体" w:hAnsi="宋体" w:cs="宋体"/>
                <w:bCs/>
                <w:szCs w:val="21"/>
              </w:rPr>
            </w:pPr>
          </w:p>
        </w:tc>
      </w:tr>
      <w:tr w14:paraId="6A7A39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63" w:type="dxa"/>
            <w:tcBorders>
              <w:top w:val="single" w:color="auto" w:sz="4" w:space="0"/>
              <w:left w:val="single" w:color="auto" w:sz="4" w:space="0"/>
              <w:bottom w:val="single" w:color="auto" w:sz="4" w:space="0"/>
              <w:right w:val="single" w:color="auto" w:sz="4" w:space="0"/>
            </w:tcBorders>
            <w:vAlign w:val="center"/>
          </w:tcPr>
          <w:p w14:paraId="00AE95F1">
            <w:pPr>
              <w:jc w:val="center"/>
              <w:rPr>
                <w:rFonts w:hint="eastAsia" w:ascii="宋体" w:hAnsi="宋体" w:eastAsia="宋体" w:cs="宋体"/>
                <w:bCs/>
                <w:szCs w:val="21"/>
                <w:lang w:eastAsia="zh-CN"/>
              </w:rPr>
            </w:pPr>
            <w:r>
              <w:rPr>
                <w:rFonts w:hint="eastAsia" w:ascii="宋体" w:hAnsi="宋体" w:cs="宋体"/>
                <w:bCs/>
                <w:szCs w:val="21"/>
                <w:lang w:val="en-US" w:eastAsia="zh-CN"/>
              </w:rPr>
              <w:t>4</w:t>
            </w:r>
          </w:p>
        </w:tc>
        <w:tc>
          <w:tcPr>
            <w:tcW w:w="1785" w:type="dxa"/>
            <w:tcBorders>
              <w:top w:val="single" w:color="auto" w:sz="4" w:space="0"/>
              <w:left w:val="single" w:color="auto" w:sz="4" w:space="0"/>
              <w:bottom w:val="single" w:color="auto" w:sz="4" w:space="0"/>
              <w:right w:val="single" w:color="auto" w:sz="4" w:space="0"/>
            </w:tcBorders>
            <w:vAlign w:val="center"/>
          </w:tcPr>
          <w:p w14:paraId="236C214D">
            <w:pPr>
              <w:tabs>
                <w:tab w:val="left" w:pos="4102"/>
                <w:tab w:val="right" w:pos="4402"/>
              </w:tabs>
              <w:rPr>
                <w:rFonts w:ascii="宋体" w:hAnsi="宋体" w:cs="宋体"/>
                <w:szCs w:val="21"/>
              </w:rPr>
            </w:pPr>
            <w:r>
              <w:rPr>
                <w:rFonts w:hint="eastAsia" w:ascii="宋体" w:hAnsi="宋体" w:cs="宋体"/>
                <w:szCs w:val="21"/>
              </w:rPr>
              <w:t>受限空间救援工器具</w:t>
            </w:r>
          </w:p>
        </w:tc>
        <w:tc>
          <w:tcPr>
            <w:tcW w:w="1060" w:type="dxa"/>
            <w:tcBorders>
              <w:top w:val="single" w:color="auto" w:sz="4" w:space="0"/>
              <w:left w:val="single" w:color="auto" w:sz="4" w:space="0"/>
              <w:bottom w:val="single" w:color="auto" w:sz="4" w:space="0"/>
              <w:right w:val="single" w:color="auto" w:sz="4" w:space="0"/>
            </w:tcBorders>
            <w:vAlign w:val="center"/>
          </w:tcPr>
          <w:p w14:paraId="3FAEFB10">
            <w:pPr>
              <w:jc w:val="center"/>
              <w:rPr>
                <w:rFonts w:ascii="宋体" w:hAnsi="宋体" w:cs="宋体"/>
                <w:szCs w:val="21"/>
              </w:rPr>
            </w:pPr>
          </w:p>
        </w:tc>
        <w:tc>
          <w:tcPr>
            <w:tcW w:w="1706" w:type="dxa"/>
            <w:tcBorders>
              <w:top w:val="single" w:color="auto" w:sz="4" w:space="0"/>
              <w:left w:val="single" w:color="auto" w:sz="4" w:space="0"/>
              <w:bottom w:val="single" w:color="auto" w:sz="4" w:space="0"/>
              <w:right w:val="single" w:color="auto" w:sz="4" w:space="0"/>
            </w:tcBorders>
            <w:vAlign w:val="center"/>
          </w:tcPr>
          <w:p w14:paraId="7447F9D2">
            <w:pPr>
              <w:jc w:val="center"/>
              <w:rPr>
                <w:rFonts w:ascii="宋体" w:hAnsi="宋体" w:cs="宋体"/>
                <w:szCs w:val="21"/>
              </w:rPr>
            </w:pPr>
            <w:r>
              <w:rPr>
                <w:rFonts w:hint="eastAsia" w:ascii="宋体" w:hAnsi="宋体" w:cs="宋体"/>
                <w:szCs w:val="21"/>
                <w:lang w:val="en-US" w:eastAsia="zh-CN"/>
              </w:rPr>
              <w:t>2</w:t>
            </w:r>
            <w:r>
              <w:rPr>
                <w:rFonts w:hint="eastAsia" w:ascii="宋体" w:hAnsi="宋体" w:cs="宋体"/>
                <w:szCs w:val="21"/>
              </w:rPr>
              <w:t>套</w:t>
            </w:r>
          </w:p>
        </w:tc>
        <w:tc>
          <w:tcPr>
            <w:tcW w:w="1364" w:type="dxa"/>
            <w:tcBorders>
              <w:top w:val="single" w:color="auto" w:sz="4" w:space="0"/>
              <w:left w:val="single" w:color="auto" w:sz="4" w:space="0"/>
              <w:bottom w:val="single" w:color="auto" w:sz="4" w:space="0"/>
              <w:right w:val="single" w:color="auto" w:sz="4" w:space="0"/>
            </w:tcBorders>
          </w:tcPr>
          <w:p w14:paraId="1D290BFD">
            <w:pPr>
              <w:jc w:val="center"/>
              <w:rPr>
                <w:rFonts w:ascii="宋体" w:hAnsi="宋体" w:cs="宋体"/>
                <w:bCs/>
                <w:szCs w:val="21"/>
              </w:rPr>
            </w:pPr>
          </w:p>
        </w:tc>
        <w:tc>
          <w:tcPr>
            <w:tcW w:w="1818" w:type="dxa"/>
            <w:tcBorders>
              <w:top w:val="single" w:color="auto" w:sz="4" w:space="0"/>
              <w:left w:val="single" w:color="auto" w:sz="4" w:space="0"/>
              <w:bottom w:val="single" w:color="auto" w:sz="4" w:space="0"/>
              <w:right w:val="single" w:color="auto" w:sz="4" w:space="0"/>
            </w:tcBorders>
            <w:vAlign w:val="center"/>
          </w:tcPr>
          <w:p w14:paraId="7336F7FD">
            <w:pPr>
              <w:jc w:val="center"/>
              <w:rPr>
                <w:rFonts w:ascii="宋体" w:hAnsi="宋体" w:cs="宋体"/>
                <w:bCs/>
                <w:szCs w:val="21"/>
              </w:rPr>
            </w:pPr>
            <w:r>
              <w:rPr>
                <w:rFonts w:hint="eastAsia" w:ascii="宋体" w:hAnsi="宋体" w:cs="宋体"/>
                <w:bCs/>
                <w:szCs w:val="21"/>
              </w:rPr>
              <w:t>包括防坠器、生命绳、三脚架等</w:t>
            </w:r>
          </w:p>
        </w:tc>
      </w:tr>
      <w:tr w14:paraId="638100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63" w:type="dxa"/>
            <w:tcBorders>
              <w:top w:val="single" w:color="auto" w:sz="4" w:space="0"/>
              <w:left w:val="single" w:color="auto" w:sz="4" w:space="0"/>
              <w:bottom w:val="single" w:color="auto" w:sz="4" w:space="0"/>
              <w:right w:val="single" w:color="auto" w:sz="4" w:space="0"/>
            </w:tcBorders>
            <w:vAlign w:val="center"/>
          </w:tcPr>
          <w:p w14:paraId="198D1463">
            <w:pPr>
              <w:jc w:val="center"/>
              <w:rPr>
                <w:rFonts w:hint="eastAsia" w:ascii="宋体" w:hAnsi="宋体" w:eastAsia="宋体" w:cs="宋体"/>
                <w:bCs/>
                <w:szCs w:val="21"/>
                <w:lang w:eastAsia="zh-CN"/>
              </w:rPr>
            </w:pPr>
            <w:r>
              <w:rPr>
                <w:rFonts w:hint="eastAsia" w:ascii="宋体" w:hAnsi="宋体" w:cs="宋体"/>
                <w:bCs/>
                <w:szCs w:val="21"/>
                <w:lang w:val="en-US" w:eastAsia="zh-CN"/>
              </w:rPr>
              <w:t>5</w:t>
            </w:r>
          </w:p>
        </w:tc>
        <w:tc>
          <w:tcPr>
            <w:tcW w:w="1785" w:type="dxa"/>
            <w:tcBorders>
              <w:top w:val="single" w:color="auto" w:sz="4" w:space="0"/>
              <w:left w:val="single" w:color="auto" w:sz="4" w:space="0"/>
              <w:bottom w:val="single" w:color="auto" w:sz="4" w:space="0"/>
              <w:right w:val="single" w:color="auto" w:sz="4" w:space="0"/>
            </w:tcBorders>
            <w:vAlign w:val="center"/>
          </w:tcPr>
          <w:p w14:paraId="57DC160B">
            <w:pPr>
              <w:tabs>
                <w:tab w:val="left" w:pos="4102"/>
                <w:tab w:val="right" w:pos="4402"/>
              </w:tabs>
              <w:rPr>
                <w:rFonts w:ascii="宋体" w:hAnsi="宋体" w:cs="宋体"/>
                <w:szCs w:val="21"/>
              </w:rPr>
            </w:pPr>
          </w:p>
        </w:tc>
        <w:tc>
          <w:tcPr>
            <w:tcW w:w="1060" w:type="dxa"/>
            <w:tcBorders>
              <w:top w:val="single" w:color="auto" w:sz="4" w:space="0"/>
              <w:left w:val="single" w:color="auto" w:sz="4" w:space="0"/>
              <w:bottom w:val="single" w:color="auto" w:sz="4" w:space="0"/>
              <w:right w:val="single" w:color="auto" w:sz="4" w:space="0"/>
            </w:tcBorders>
            <w:vAlign w:val="center"/>
          </w:tcPr>
          <w:p w14:paraId="3DA5E0B7">
            <w:pPr>
              <w:jc w:val="center"/>
              <w:rPr>
                <w:rFonts w:ascii="宋体" w:hAnsi="宋体" w:cs="宋体"/>
                <w:szCs w:val="21"/>
              </w:rPr>
            </w:pPr>
          </w:p>
        </w:tc>
        <w:tc>
          <w:tcPr>
            <w:tcW w:w="1706" w:type="dxa"/>
            <w:tcBorders>
              <w:top w:val="single" w:color="auto" w:sz="4" w:space="0"/>
              <w:left w:val="single" w:color="auto" w:sz="4" w:space="0"/>
              <w:bottom w:val="single" w:color="auto" w:sz="4" w:space="0"/>
              <w:right w:val="single" w:color="auto" w:sz="4" w:space="0"/>
            </w:tcBorders>
            <w:vAlign w:val="center"/>
          </w:tcPr>
          <w:p w14:paraId="3ABDDC16">
            <w:pPr>
              <w:jc w:val="center"/>
              <w:rPr>
                <w:rFonts w:ascii="宋体" w:hAnsi="宋体" w:cs="宋体"/>
                <w:szCs w:val="21"/>
              </w:rPr>
            </w:pPr>
          </w:p>
        </w:tc>
        <w:tc>
          <w:tcPr>
            <w:tcW w:w="1364" w:type="dxa"/>
            <w:tcBorders>
              <w:top w:val="single" w:color="auto" w:sz="4" w:space="0"/>
              <w:left w:val="single" w:color="auto" w:sz="4" w:space="0"/>
              <w:bottom w:val="single" w:color="auto" w:sz="4" w:space="0"/>
              <w:right w:val="single" w:color="auto" w:sz="4" w:space="0"/>
            </w:tcBorders>
          </w:tcPr>
          <w:p w14:paraId="266C06FF">
            <w:pPr>
              <w:jc w:val="center"/>
              <w:rPr>
                <w:rFonts w:ascii="宋体" w:hAnsi="宋体" w:cs="宋体"/>
                <w:bCs/>
                <w:szCs w:val="21"/>
              </w:rPr>
            </w:pPr>
          </w:p>
        </w:tc>
        <w:tc>
          <w:tcPr>
            <w:tcW w:w="1818" w:type="dxa"/>
            <w:tcBorders>
              <w:top w:val="single" w:color="auto" w:sz="4" w:space="0"/>
              <w:left w:val="single" w:color="auto" w:sz="4" w:space="0"/>
              <w:bottom w:val="single" w:color="auto" w:sz="4" w:space="0"/>
              <w:right w:val="single" w:color="auto" w:sz="4" w:space="0"/>
            </w:tcBorders>
            <w:vAlign w:val="center"/>
          </w:tcPr>
          <w:p w14:paraId="520DFF12">
            <w:pPr>
              <w:jc w:val="center"/>
              <w:rPr>
                <w:rFonts w:ascii="宋体" w:hAnsi="宋体" w:cs="宋体"/>
                <w:bCs/>
                <w:szCs w:val="21"/>
              </w:rPr>
            </w:pPr>
          </w:p>
        </w:tc>
      </w:tr>
      <w:tr w14:paraId="102D71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63" w:type="dxa"/>
            <w:tcBorders>
              <w:top w:val="single" w:color="auto" w:sz="4" w:space="0"/>
              <w:left w:val="single" w:color="auto" w:sz="4" w:space="0"/>
              <w:bottom w:val="single" w:color="auto" w:sz="4" w:space="0"/>
              <w:right w:val="single" w:color="auto" w:sz="4" w:space="0"/>
            </w:tcBorders>
            <w:vAlign w:val="center"/>
          </w:tcPr>
          <w:p w14:paraId="68781D94">
            <w:pPr>
              <w:jc w:val="center"/>
              <w:rPr>
                <w:rFonts w:ascii="宋体" w:hAnsi="宋体" w:cs="宋体"/>
                <w:bCs/>
                <w:szCs w:val="21"/>
              </w:rPr>
            </w:pPr>
            <w:r>
              <w:rPr>
                <w:rFonts w:ascii="宋体" w:hAnsi="宋体" w:cs="宋体"/>
                <w:bCs/>
                <w:szCs w:val="21"/>
              </w:rPr>
              <w:t>…</w:t>
            </w:r>
          </w:p>
        </w:tc>
        <w:tc>
          <w:tcPr>
            <w:tcW w:w="1785" w:type="dxa"/>
            <w:tcBorders>
              <w:top w:val="single" w:color="auto" w:sz="4" w:space="0"/>
              <w:left w:val="single" w:color="auto" w:sz="4" w:space="0"/>
              <w:bottom w:val="single" w:color="auto" w:sz="4" w:space="0"/>
              <w:right w:val="single" w:color="auto" w:sz="4" w:space="0"/>
            </w:tcBorders>
            <w:vAlign w:val="center"/>
          </w:tcPr>
          <w:p w14:paraId="6B2948E6">
            <w:pPr>
              <w:tabs>
                <w:tab w:val="left" w:pos="4102"/>
                <w:tab w:val="right" w:pos="4402"/>
              </w:tabs>
              <w:rPr>
                <w:rFonts w:ascii="宋体" w:hAnsi="宋体" w:cs="宋体"/>
                <w:szCs w:val="21"/>
              </w:rPr>
            </w:pPr>
          </w:p>
        </w:tc>
        <w:tc>
          <w:tcPr>
            <w:tcW w:w="1060" w:type="dxa"/>
            <w:tcBorders>
              <w:top w:val="single" w:color="auto" w:sz="4" w:space="0"/>
              <w:left w:val="single" w:color="auto" w:sz="4" w:space="0"/>
              <w:bottom w:val="single" w:color="auto" w:sz="4" w:space="0"/>
              <w:right w:val="single" w:color="auto" w:sz="4" w:space="0"/>
            </w:tcBorders>
            <w:vAlign w:val="center"/>
          </w:tcPr>
          <w:p w14:paraId="6073BCDD">
            <w:pPr>
              <w:tabs>
                <w:tab w:val="left" w:pos="4102"/>
                <w:tab w:val="right" w:pos="4402"/>
              </w:tabs>
              <w:jc w:val="center"/>
              <w:rPr>
                <w:rFonts w:ascii="宋体" w:hAnsi="宋体" w:cs="宋体"/>
                <w:szCs w:val="21"/>
              </w:rPr>
            </w:pPr>
          </w:p>
        </w:tc>
        <w:tc>
          <w:tcPr>
            <w:tcW w:w="1706" w:type="dxa"/>
            <w:tcBorders>
              <w:top w:val="single" w:color="auto" w:sz="4" w:space="0"/>
              <w:left w:val="single" w:color="auto" w:sz="4" w:space="0"/>
              <w:bottom w:val="single" w:color="auto" w:sz="4" w:space="0"/>
              <w:right w:val="single" w:color="auto" w:sz="4" w:space="0"/>
            </w:tcBorders>
            <w:vAlign w:val="center"/>
          </w:tcPr>
          <w:p w14:paraId="18274C25">
            <w:pPr>
              <w:tabs>
                <w:tab w:val="left" w:pos="4102"/>
                <w:tab w:val="right" w:pos="4402"/>
              </w:tabs>
              <w:jc w:val="center"/>
              <w:rPr>
                <w:rFonts w:ascii="宋体" w:hAnsi="宋体" w:cs="宋体"/>
                <w:szCs w:val="21"/>
              </w:rPr>
            </w:pPr>
          </w:p>
        </w:tc>
        <w:tc>
          <w:tcPr>
            <w:tcW w:w="1364" w:type="dxa"/>
            <w:tcBorders>
              <w:top w:val="single" w:color="auto" w:sz="4" w:space="0"/>
              <w:left w:val="single" w:color="auto" w:sz="4" w:space="0"/>
              <w:bottom w:val="single" w:color="auto" w:sz="4" w:space="0"/>
              <w:right w:val="single" w:color="auto" w:sz="4" w:space="0"/>
            </w:tcBorders>
          </w:tcPr>
          <w:p w14:paraId="67A7556E">
            <w:pPr>
              <w:ind w:firstLine="210" w:firstLineChars="100"/>
              <w:jc w:val="center"/>
              <w:rPr>
                <w:rFonts w:ascii="宋体" w:hAnsi="宋体" w:cs="宋体"/>
                <w:bCs/>
                <w:szCs w:val="21"/>
              </w:rPr>
            </w:pPr>
          </w:p>
        </w:tc>
        <w:tc>
          <w:tcPr>
            <w:tcW w:w="1818" w:type="dxa"/>
            <w:tcBorders>
              <w:top w:val="single" w:color="auto" w:sz="4" w:space="0"/>
              <w:left w:val="single" w:color="auto" w:sz="4" w:space="0"/>
              <w:bottom w:val="single" w:color="auto" w:sz="4" w:space="0"/>
              <w:right w:val="single" w:color="auto" w:sz="4" w:space="0"/>
            </w:tcBorders>
            <w:vAlign w:val="center"/>
          </w:tcPr>
          <w:p w14:paraId="29B73E63">
            <w:pPr>
              <w:ind w:firstLine="210" w:firstLineChars="100"/>
              <w:jc w:val="center"/>
              <w:rPr>
                <w:rFonts w:ascii="宋体" w:hAnsi="宋体" w:cs="宋体"/>
                <w:bCs/>
                <w:szCs w:val="21"/>
              </w:rPr>
            </w:pPr>
          </w:p>
        </w:tc>
      </w:tr>
    </w:tbl>
    <w:p w14:paraId="672C13B1">
      <w:pPr>
        <w:pStyle w:val="7"/>
        <w:spacing w:before="156"/>
      </w:pPr>
      <w:r>
        <w:rPr>
          <w:rFonts w:hint="eastAsia"/>
        </w:rPr>
        <w:t>施工工器具</w:t>
      </w:r>
      <w:r>
        <w:rPr>
          <w:rFonts w:hint="eastAsia"/>
          <w:lang w:val="en-US" w:eastAsia="zh-CN"/>
        </w:rPr>
        <w:t>可参考下表配置（最终以投标人满足现场需要为准）</w:t>
      </w:r>
    </w:p>
    <w:tbl>
      <w:tblPr>
        <w:tblStyle w:val="32"/>
        <w:tblW w:w="829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63"/>
        <w:gridCol w:w="1785"/>
        <w:gridCol w:w="1060"/>
        <w:gridCol w:w="1706"/>
        <w:gridCol w:w="1364"/>
        <w:gridCol w:w="1818"/>
      </w:tblGrid>
      <w:tr w14:paraId="3FDA99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blHeader/>
          <w:jc w:val="center"/>
        </w:trPr>
        <w:tc>
          <w:tcPr>
            <w:tcW w:w="563" w:type="dxa"/>
            <w:tcBorders>
              <w:top w:val="single" w:color="auto" w:sz="4" w:space="0"/>
              <w:left w:val="single" w:color="auto" w:sz="4" w:space="0"/>
              <w:bottom w:val="single" w:color="auto" w:sz="4" w:space="0"/>
              <w:right w:val="single" w:color="auto" w:sz="4" w:space="0"/>
            </w:tcBorders>
            <w:vAlign w:val="center"/>
          </w:tcPr>
          <w:p w14:paraId="2E4C5249">
            <w:pPr>
              <w:jc w:val="center"/>
              <w:rPr>
                <w:rFonts w:ascii="宋体" w:hAnsi="宋体" w:cs="宋体"/>
                <w:b/>
                <w:bCs/>
                <w:szCs w:val="21"/>
              </w:rPr>
            </w:pPr>
            <w:r>
              <w:rPr>
                <w:rFonts w:hint="eastAsia" w:ascii="宋体" w:hAnsi="宋体" w:cs="宋体"/>
                <w:b/>
                <w:bCs/>
                <w:szCs w:val="21"/>
              </w:rPr>
              <w:t>序</w:t>
            </w:r>
          </w:p>
          <w:p w14:paraId="7E72FAF2">
            <w:pPr>
              <w:jc w:val="center"/>
              <w:rPr>
                <w:rFonts w:ascii="宋体" w:hAnsi="宋体" w:cs="宋体"/>
                <w:b/>
                <w:bCs/>
                <w:szCs w:val="21"/>
              </w:rPr>
            </w:pPr>
            <w:r>
              <w:rPr>
                <w:rFonts w:hint="eastAsia" w:ascii="宋体" w:hAnsi="宋体" w:cs="宋体"/>
                <w:b/>
                <w:bCs/>
                <w:szCs w:val="21"/>
              </w:rPr>
              <w:t>号</w:t>
            </w:r>
          </w:p>
        </w:tc>
        <w:tc>
          <w:tcPr>
            <w:tcW w:w="1785" w:type="dxa"/>
            <w:tcBorders>
              <w:top w:val="single" w:color="auto" w:sz="4" w:space="0"/>
              <w:left w:val="single" w:color="auto" w:sz="4" w:space="0"/>
              <w:bottom w:val="single" w:color="auto" w:sz="4" w:space="0"/>
              <w:right w:val="single" w:color="auto" w:sz="4" w:space="0"/>
            </w:tcBorders>
            <w:vAlign w:val="center"/>
          </w:tcPr>
          <w:p w14:paraId="6A455E20">
            <w:pPr>
              <w:jc w:val="center"/>
              <w:rPr>
                <w:rFonts w:ascii="宋体" w:hAnsi="宋体" w:cs="宋体"/>
                <w:b/>
                <w:bCs/>
                <w:szCs w:val="21"/>
              </w:rPr>
            </w:pPr>
            <w:r>
              <w:rPr>
                <w:rFonts w:hint="eastAsia" w:ascii="宋体" w:hAnsi="宋体" w:cs="宋体"/>
                <w:b/>
                <w:bCs/>
                <w:szCs w:val="21"/>
              </w:rPr>
              <w:t>名称</w:t>
            </w:r>
          </w:p>
        </w:tc>
        <w:tc>
          <w:tcPr>
            <w:tcW w:w="1060" w:type="dxa"/>
            <w:tcBorders>
              <w:top w:val="single" w:color="auto" w:sz="4" w:space="0"/>
              <w:left w:val="single" w:color="auto" w:sz="4" w:space="0"/>
              <w:bottom w:val="single" w:color="auto" w:sz="4" w:space="0"/>
              <w:right w:val="single" w:color="auto" w:sz="4" w:space="0"/>
            </w:tcBorders>
            <w:vAlign w:val="center"/>
          </w:tcPr>
          <w:p w14:paraId="3656B249">
            <w:pPr>
              <w:jc w:val="center"/>
              <w:rPr>
                <w:rFonts w:ascii="宋体" w:hAnsi="宋体" w:cs="宋体"/>
                <w:b/>
                <w:bCs/>
                <w:szCs w:val="21"/>
              </w:rPr>
            </w:pPr>
            <w:r>
              <w:rPr>
                <w:rFonts w:hint="eastAsia" w:ascii="宋体" w:hAnsi="宋体" w:cs="宋体"/>
                <w:b/>
                <w:bCs/>
                <w:szCs w:val="21"/>
              </w:rPr>
              <w:t>规格型号</w:t>
            </w:r>
          </w:p>
        </w:tc>
        <w:tc>
          <w:tcPr>
            <w:tcW w:w="1706" w:type="dxa"/>
            <w:tcBorders>
              <w:top w:val="single" w:color="auto" w:sz="4" w:space="0"/>
              <w:left w:val="single" w:color="auto" w:sz="4" w:space="0"/>
              <w:bottom w:val="single" w:color="auto" w:sz="4" w:space="0"/>
              <w:right w:val="single" w:color="auto" w:sz="4" w:space="0"/>
            </w:tcBorders>
            <w:vAlign w:val="center"/>
          </w:tcPr>
          <w:p w14:paraId="06895F5A">
            <w:pPr>
              <w:jc w:val="center"/>
              <w:rPr>
                <w:rFonts w:ascii="宋体" w:hAnsi="宋体" w:cs="宋体"/>
                <w:b/>
                <w:bCs/>
                <w:szCs w:val="21"/>
              </w:rPr>
            </w:pPr>
            <w:r>
              <w:rPr>
                <w:rFonts w:hint="eastAsia" w:ascii="宋体" w:hAnsi="宋体" w:cs="宋体"/>
                <w:b/>
                <w:bCs/>
                <w:szCs w:val="21"/>
              </w:rPr>
              <w:t>招标数量要求</w:t>
            </w:r>
          </w:p>
          <w:p w14:paraId="0E9BBE02">
            <w:pPr>
              <w:jc w:val="center"/>
              <w:rPr>
                <w:rFonts w:ascii="宋体" w:hAnsi="宋体" w:cs="宋体"/>
                <w:b/>
                <w:bCs/>
                <w:szCs w:val="21"/>
              </w:rPr>
            </w:pPr>
            <w:r>
              <w:rPr>
                <w:rFonts w:hint="eastAsia" w:ascii="宋体" w:hAnsi="宋体" w:cs="宋体"/>
                <w:b/>
                <w:bCs/>
                <w:szCs w:val="21"/>
              </w:rPr>
              <w:t>(套/台)</w:t>
            </w:r>
          </w:p>
        </w:tc>
        <w:tc>
          <w:tcPr>
            <w:tcW w:w="1364" w:type="dxa"/>
            <w:tcBorders>
              <w:top w:val="single" w:color="auto" w:sz="4" w:space="0"/>
              <w:left w:val="single" w:color="auto" w:sz="4" w:space="0"/>
              <w:bottom w:val="single" w:color="auto" w:sz="4" w:space="0"/>
              <w:right w:val="single" w:color="auto" w:sz="4" w:space="0"/>
            </w:tcBorders>
          </w:tcPr>
          <w:p w14:paraId="60B7BE91">
            <w:pPr>
              <w:ind w:firstLine="211" w:firstLineChars="100"/>
              <w:jc w:val="center"/>
              <w:rPr>
                <w:rFonts w:ascii="宋体" w:hAnsi="宋体" w:cs="宋体"/>
                <w:b/>
                <w:bCs/>
                <w:szCs w:val="21"/>
              </w:rPr>
            </w:pPr>
            <w:r>
              <w:rPr>
                <w:rFonts w:hint="eastAsia" w:ascii="宋体" w:hAnsi="宋体" w:cs="宋体"/>
                <w:b/>
                <w:bCs/>
                <w:szCs w:val="21"/>
              </w:rPr>
              <w:t>投标数量</w:t>
            </w:r>
          </w:p>
          <w:p w14:paraId="1E4FD64B">
            <w:pPr>
              <w:ind w:firstLine="211" w:firstLineChars="100"/>
              <w:jc w:val="center"/>
              <w:rPr>
                <w:rFonts w:ascii="宋体" w:hAnsi="宋体" w:cs="宋体"/>
                <w:b/>
                <w:bCs/>
                <w:szCs w:val="21"/>
              </w:rPr>
            </w:pPr>
            <w:r>
              <w:rPr>
                <w:rFonts w:hint="eastAsia" w:ascii="宋体" w:hAnsi="宋体" w:cs="宋体"/>
                <w:b/>
                <w:bCs/>
                <w:szCs w:val="21"/>
              </w:rPr>
              <w:t>(套/台)</w:t>
            </w:r>
          </w:p>
        </w:tc>
        <w:tc>
          <w:tcPr>
            <w:tcW w:w="1818" w:type="dxa"/>
            <w:tcBorders>
              <w:top w:val="single" w:color="auto" w:sz="4" w:space="0"/>
              <w:left w:val="single" w:color="auto" w:sz="4" w:space="0"/>
              <w:bottom w:val="single" w:color="auto" w:sz="4" w:space="0"/>
              <w:right w:val="single" w:color="auto" w:sz="4" w:space="0"/>
            </w:tcBorders>
            <w:vAlign w:val="center"/>
          </w:tcPr>
          <w:p w14:paraId="1E615AAB">
            <w:pPr>
              <w:ind w:firstLine="211" w:firstLineChars="100"/>
              <w:jc w:val="center"/>
              <w:rPr>
                <w:rFonts w:ascii="宋体" w:hAnsi="宋体" w:cs="宋体"/>
                <w:b/>
                <w:bCs/>
                <w:szCs w:val="21"/>
              </w:rPr>
            </w:pPr>
            <w:r>
              <w:rPr>
                <w:rFonts w:hint="eastAsia" w:ascii="宋体" w:hAnsi="宋体" w:cs="宋体"/>
                <w:b/>
                <w:bCs/>
                <w:szCs w:val="21"/>
              </w:rPr>
              <w:t>备注</w:t>
            </w:r>
          </w:p>
        </w:tc>
      </w:tr>
      <w:tr w14:paraId="168B8D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63" w:type="dxa"/>
            <w:tcBorders>
              <w:top w:val="single" w:color="auto" w:sz="4" w:space="0"/>
              <w:left w:val="single" w:color="auto" w:sz="4" w:space="0"/>
              <w:bottom w:val="single" w:color="auto" w:sz="4" w:space="0"/>
              <w:right w:val="single" w:color="auto" w:sz="4" w:space="0"/>
            </w:tcBorders>
            <w:vAlign w:val="center"/>
          </w:tcPr>
          <w:p w14:paraId="2826581B">
            <w:pPr>
              <w:jc w:val="center"/>
              <w:rPr>
                <w:rFonts w:ascii="宋体" w:hAnsi="宋体" w:cs="宋体"/>
                <w:bCs/>
                <w:szCs w:val="21"/>
                <w:highlight w:val="none"/>
              </w:rPr>
            </w:pPr>
            <w:r>
              <w:rPr>
                <w:rFonts w:hint="eastAsia" w:ascii="宋体" w:hAnsi="宋体" w:cs="宋体"/>
                <w:bCs/>
                <w:szCs w:val="21"/>
                <w:highlight w:val="none"/>
              </w:rPr>
              <w:t>1</w:t>
            </w:r>
          </w:p>
        </w:tc>
        <w:tc>
          <w:tcPr>
            <w:tcW w:w="1785" w:type="dxa"/>
            <w:tcBorders>
              <w:top w:val="single" w:color="auto" w:sz="4" w:space="0"/>
              <w:left w:val="single" w:color="auto" w:sz="4" w:space="0"/>
              <w:bottom w:val="single" w:color="auto" w:sz="4" w:space="0"/>
              <w:right w:val="single" w:color="auto" w:sz="4" w:space="0"/>
            </w:tcBorders>
            <w:vAlign w:val="center"/>
          </w:tcPr>
          <w:p w14:paraId="3AE3F713">
            <w:pPr>
              <w:tabs>
                <w:tab w:val="left" w:pos="4102"/>
                <w:tab w:val="right" w:pos="4402"/>
              </w:tabs>
              <w:rPr>
                <w:rFonts w:ascii="宋体" w:hAnsi="宋体" w:eastAsia="宋体" w:cs="宋体"/>
                <w:kern w:val="2"/>
                <w:sz w:val="21"/>
                <w:szCs w:val="21"/>
                <w:lang w:val="en-US" w:eastAsia="zh-CN" w:bidi="ar-SA"/>
              </w:rPr>
            </w:pPr>
            <w:r>
              <w:rPr>
                <w:rFonts w:hint="eastAsia" w:ascii="宋体" w:hAnsi="宋体" w:cs="宋体"/>
                <w:szCs w:val="21"/>
              </w:rPr>
              <w:t>力矩扳手</w:t>
            </w:r>
          </w:p>
        </w:tc>
        <w:tc>
          <w:tcPr>
            <w:tcW w:w="1060" w:type="dxa"/>
            <w:tcBorders>
              <w:top w:val="single" w:color="auto" w:sz="4" w:space="0"/>
              <w:left w:val="single" w:color="auto" w:sz="4" w:space="0"/>
              <w:bottom w:val="single" w:color="auto" w:sz="4" w:space="0"/>
              <w:right w:val="single" w:color="auto" w:sz="4" w:space="0"/>
            </w:tcBorders>
            <w:vAlign w:val="center"/>
          </w:tcPr>
          <w:p w14:paraId="4AB51325">
            <w:pPr>
              <w:tabs>
                <w:tab w:val="left" w:pos="4102"/>
                <w:tab w:val="right" w:pos="4402"/>
              </w:tabs>
              <w:jc w:val="center"/>
              <w:rPr>
                <w:rFonts w:ascii="宋体" w:hAnsi="宋体" w:eastAsia="宋体" w:cs="宋体"/>
                <w:kern w:val="2"/>
                <w:sz w:val="21"/>
                <w:szCs w:val="21"/>
                <w:lang w:val="en-US" w:eastAsia="zh-CN" w:bidi="ar-SA"/>
              </w:rPr>
            </w:pPr>
          </w:p>
        </w:tc>
        <w:tc>
          <w:tcPr>
            <w:tcW w:w="1706" w:type="dxa"/>
            <w:tcBorders>
              <w:top w:val="single" w:color="auto" w:sz="4" w:space="0"/>
              <w:left w:val="single" w:color="auto" w:sz="4" w:space="0"/>
              <w:bottom w:val="single" w:color="auto" w:sz="4" w:space="0"/>
              <w:right w:val="single" w:color="auto" w:sz="4" w:space="0"/>
            </w:tcBorders>
            <w:vAlign w:val="center"/>
          </w:tcPr>
          <w:p w14:paraId="0C0C6007">
            <w:pPr>
              <w:tabs>
                <w:tab w:val="left" w:pos="4102"/>
                <w:tab w:val="right" w:pos="4402"/>
              </w:tabs>
              <w:jc w:val="center"/>
              <w:rPr>
                <w:rFonts w:ascii="宋体" w:hAnsi="宋体" w:eastAsia="宋体" w:cs="宋体"/>
                <w:kern w:val="2"/>
                <w:sz w:val="21"/>
                <w:szCs w:val="21"/>
                <w:lang w:val="en-US" w:eastAsia="zh-CN" w:bidi="ar-SA"/>
              </w:rPr>
            </w:pPr>
            <w:r>
              <w:rPr>
                <w:rFonts w:hint="eastAsia" w:ascii="宋体" w:hAnsi="宋体" w:cs="宋体"/>
                <w:szCs w:val="21"/>
              </w:rPr>
              <w:t>满足需要</w:t>
            </w:r>
          </w:p>
        </w:tc>
        <w:tc>
          <w:tcPr>
            <w:tcW w:w="1364" w:type="dxa"/>
            <w:tcBorders>
              <w:top w:val="single" w:color="auto" w:sz="4" w:space="0"/>
              <w:left w:val="single" w:color="auto" w:sz="4" w:space="0"/>
              <w:bottom w:val="single" w:color="auto" w:sz="4" w:space="0"/>
              <w:right w:val="single" w:color="auto" w:sz="4" w:space="0"/>
            </w:tcBorders>
          </w:tcPr>
          <w:p w14:paraId="4C5A13F1">
            <w:pPr>
              <w:jc w:val="center"/>
              <w:rPr>
                <w:rFonts w:ascii="宋体" w:hAnsi="宋体" w:cs="宋体"/>
                <w:bCs/>
                <w:szCs w:val="21"/>
                <w:highlight w:val="yellow"/>
              </w:rPr>
            </w:pPr>
          </w:p>
        </w:tc>
        <w:tc>
          <w:tcPr>
            <w:tcW w:w="1818" w:type="dxa"/>
            <w:tcBorders>
              <w:top w:val="single" w:color="auto" w:sz="4" w:space="0"/>
              <w:left w:val="single" w:color="auto" w:sz="4" w:space="0"/>
              <w:bottom w:val="single" w:color="auto" w:sz="4" w:space="0"/>
              <w:right w:val="single" w:color="auto" w:sz="4" w:space="0"/>
            </w:tcBorders>
            <w:vAlign w:val="center"/>
          </w:tcPr>
          <w:p w14:paraId="0AB913B8">
            <w:pPr>
              <w:rPr>
                <w:rFonts w:ascii="宋体" w:hAnsi="宋体" w:cs="宋体"/>
                <w:bCs/>
                <w:szCs w:val="21"/>
                <w:highlight w:val="yellow"/>
              </w:rPr>
            </w:pPr>
          </w:p>
        </w:tc>
      </w:tr>
      <w:tr w14:paraId="01E743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63" w:type="dxa"/>
            <w:tcBorders>
              <w:top w:val="single" w:color="auto" w:sz="4" w:space="0"/>
              <w:left w:val="single" w:color="auto" w:sz="4" w:space="0"/>
              <w:bottom w:val="single" w:color="auto" w:sz="4" w:space="0"/>
              <w:right w:val="single" w:color="auto" w:sz="4" w:space="0"/>
            </w:tcBorders>
            <w:vAlign w:val="center"/>
          </w:tcPr>
          <w:p w14:paraId="6ECD9E96">
            <w:pPr>
              <w:jc w:val="center"/>
              <w:rPr>
                <w:rFonts w:ascii="宋体" w:hAnsi="宋体" w:cs="宋体"/>
                <w:bCs/>
                <w:szCs w:val="21"/>
              </w:rPr>
            </w:pPr>
            <w:r>
              <w:rPr>
                <w:rFonts w:hint="eastAsia" w:ascii="宋体" w:hAnsi="宋体" w:cs="宋体"/>
                <w:bCs/>
                <w:szCs w:val="21"/>
              </w:rPr>
              <w:t>2</w:t>
            </w:r>
          </w:p>
        </w:tc>
        <w:tc>
          <w:tcPr>
            <w:tcW w:w="1785" w:type="dxa"/>
            <w:tcBorders>
              <w:top w:val="single" w:color="auto" w:sz="4" w:space="0"/>
              <w:left w:val="single" w:color="auto" w:sz="4" w:space="0"/>
              <w:bottom w:val="single" w:color="auto" w:sz="4" w:space="0"/>
              <w:right w:val="single" w:color="auto" w:sz="4" w:space="0"/>
            </w:tcBorders>
            <w:vAlign w:val="center"/>
          </w:tcPr>
          <w:p w14:paraId="1593ADB3">
            <w:pPr>
              <w:rPr>
                <w:rFonts w:ascii="宋体" w:hAnsi="宋体" w:eastAsia="宋体" w:cs="宋体"/>
                <w:kern w:val="2"/>
                <w:sz w:val="21"/>
                <w:szCs w:val="21"/>
                <w:lang w:val="en-US" w:eastAsia="zh-CN" w:bidi="ar-SA"/>
              </w:rPr>
            </w:pPr>
            <w:r>
              <w:rPr>
                <w:rFonts w:hint="eastAsia" w:ascii="宋体" w:hAnsi="宋体" w:cs="宋体"/>
                <w:szCs w:val="21"/>
              </w:rPr>
              <w:t>活扳手</w:t>
            </w:r>
          </w:p>
        </w:tc>
        <w:tc>
          <w:tcPr>
            <w:tcW w:w="1060" w:type="dxa"/>
            <w:tcBorders>
              <w:top w:val="single" w:color="auto" w:sz="4" w:space="0"/>
              <w:left w:val="single" w:color="auto" w:sz="4" w:space="0"/>
              <w:bottom w:val="single" w:color="auto" w:sz="4" w:space="0"/>
              <w:right w:val="single" w:color="auto" w:sz="4" w:space="0"/>
            </w:tcBorders>
            <w:vAlign w:val="center"/>
          </w:tcPr>
          <w:p w14:paraId="61E0388C">
            <w:pPr>
              <w:jc w:val="center"/>
              <w:rPr>
                <w:rFonts w:ascii="宋体" w:hAnsi="宋体" w:eastAsia="宋体" w:cs="宋体"/>
                <w:kern w:val="2"/>
                <w:sz w:val="21"/>
                <w:szCs w:val="21"/>
                <w:lang w:val="en-US" w:eastAsia="zh-CN" w:bidi="ar-SA"/>
              </w:rPr>
            </w:pPr>
            <w:r>
              <w:rPr>
                <w:rFonts w:hint="eastAsia" w:ascii="宋体" w:hAnsi="宋体" w:cs="宋体"/>
                <w:szCs w:val="21"/>
              </w:rPr>
              <w:t>各种规格</w:t>
            </w:r>
          </w:p>
        </w:tc>
        <w:tc>
          <w:tcPr>
            <w:tcW w:w="1706" w:type="dxa"/>
            <w:tcBorders>
              <w:top w:val="single" w:color="auto" w:sz="4" w:space="0"/>
              <w:left w:val="single" w:color="auto" w:sz="4" w:space="0"/>
              <w:bottom w:val="single" w:color="auto" w:sz="4" w:space="0"/>
              <w:right w:val="single" w:color="auto" w:sz="4" w:space="0"/>
            </w:tcBorders>
            <w:vAlign w:val="center"/>
          </w:tcPr>
          <w:p w14:paraId="6C86DDE9">
            <w:pPr>
              <w:jc w:val="center"/>
              <w:rPr>
                <w:rFonts w:ascii="宋体" w:hAnsi="宋体" w:eastAsia="宋体" w:cs="宋体"/>
                <w:kern w:val="2"/>
                <w:sz w:val="21"/>
                <w:szCs w:val="21"/>
                <w:lang w:val="en-US" w:eastAsia="zh-CN" w:bidi="ar-SA"/>
              </w:rPr>
            </w:pPr>
            <w:r>
              <w:rPr>
                <w:rFonts w:hint="eastAsia" w:ascii="宋体" w:hAnsi="宋体" w:cs="宋体"/>
                <w:szCs w:val="21"/>
              </w:rPr>
              <w:t>满足需要</w:t>
            </w:r>
          </w:p>
        </w:tc>
        <w:tc>
          <w:tcPr>
            <w:tcW w:w="1364" w:type="dxa"/>
            <w:tcBorders>
              <w:top w:val="single" w:color="auto" w:sz="4" w:space="0"/>
              <w:left w:val="single" w:color="auto" w:sz="4" w:space="0"/>
              <w:bottom w:val="single" w:color="auto" w:sz="4" w:space="0"/>
              <w:right w:val="single" w:color="auto" w:sz="4" w:space="0"/>
            </w:tcBorders>
          </w:tcPr>
          <w:p w14:paraId="17867E53">
            <w:pPr>
              <w:ind w:firstLine="210" w:firstLineChars="100"/>
              <w:jc w:val="center"/>
              <w:rPr>
                <w:rFonts w:ascii="宋体" w:hAnsi="宋体" w:cs="宋体"/>
                <w:szCs w:val="21"/>
              </w:rPr>
            </w:pPr>
          </w:p>
        </w:tc>
        <w:tc>
          <w:tcPr>
            <w:tcW w:w="1818" w:type="dxa"/>
            <w:tcBorders>
              <w:top w:val="single" w:color="auto" w:sz="4" w:space="0"/>
              <w:left w:val="single" w:color="auto" w:sz="4" w:space="0"/>
              <w:bottom w:val="single" w:color="auto" w:sz="4" w:space="0"/>
              <w:right w:val="single" w:color="auto" w:sz="4" w:space="0"/>
            </w:tcBorders>
            <w:vAlign w:val="center"/>
          </w:tcPr>
          <w:p w14:paraId="5EA8E455">
            <w:pPr>
              <w:rPr>
                <w:rFonts w:ascii="宋体" w:hAnsi="宋体" w:cs="宋体"/>
                <w:bCs/>
                <w:szCs w:val="21"/>
              </w:rPr>
            </w:pPr>
          </w:p>
        </w:tc>
      </w:tr>
      <w:tr w14:paraId="19FFF3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63" w:type="dxa"/>
            <w:tcBorders>
              <w:top w:val="single" w:color="auto" w:sz="4" w:space="0"/>
              <w:left w:val="single" w:color="auto" w:sz="4" w:space="0"/>
              <w:bottom w:val="single" w:color="auto" w:sz="4" w:space="0"/>
              <w:right w:val="single" w:color="auto" w:sz="4" w:space="0"/>
            </w:tcBorders>
            <w:vAlign w:val="center"/>
          </w:tcPr>
          <w:p w14:paraId="629D000A">
            <w:pPr>
              <w:jc w:val="center"/>
              <w:rPr>
                <w:rFonts w:ascii="宋体" w:hAnsi="宋体" w:cs="宋体"/>
                <w:bCs/>
                <w:szCs w:val="21"/>
              </w:rPr>
            </w:pPr>
            <w:r>
              <w:rPr>
                <w:rFonts w:hint="eastAsia" w:ascii="宋体" w:hAnsi="宋体" w:cs="宋体"/>
                <w:bCs/>
                <w:szCs w:val="21"/>
              </w:rPr>
              <w:t>3</w:t>
            </w:r>
          </w:p>
        </w:tc>
        <w:tc>
          <w:tcPr>
            <w:tcW w:w="1785" w:type="dxa"/>
            <w:tcBorders>
              <w:top w:val="single" w:color="auto" w:sz="4" w:space="0"/>
              <w:left w:val="single" w:color="auto" w:sz="4" w:space="0"/>
              <w:bottom w:val="single" w:color="auto" w:sz="4" w:space="0"/>
              <w:right w:val="single" w:color="auto" w:sz="4" w:space="0"/>
            </w:tcBorders>
            <w:vAlign w:val="center"/>
          </w:tcPr>
          <w:p w14:paraId="10DD33BD">
            <w:pPr>
              <w:tabs>
                <w:tab w:val="left" w:pos="4102"/>
                <w:tab w:val="right" w:pos="4402"/>
              </w:tabs>
              <w:rPr>
                <w:rFonts w:ascii="宋体" w:hAnsi="宋体" w:eastAsia="宋体" w:cs="宋体"/>
                <w:kern w:val="2"/>
                <w:sz w:val="21"/>
                <w:szCs w:val="21"/>
                <w:lang w:val="en-US" w:eastAsia="zh-CN" w:bidi="ar-SA"/>
              </w:rPr>
            </w:pPr>
            <w:r>
              <w:rPr>
                <w:rFonts w:hint="eastAsia" w:ascii="宋体" w:hAnsi="宋体" w:cs="宋体"/>
                <w:szCs w:val="21"/>
              </w:rPr>
              <w:t>套筒扳手</w:t>
            </w:r>
          </w:p>
        </w:tc>
        <w:tc>
          <w:tcPr>
            <w:tcW w:w="1060" w:type="dxa"/>
            <w:tcBorders>
              <w:top w:val="single" w:color="auto" w:sz="4" w:space="0"/>
              <w:left w:val="single" w:color="auto" w:sz="4" w:space="0"/>
              <w:bottom w:val="single" w:color="auto" w:sz="4" w:space="0"/>
              <w:right w:val="single" w:color="auto" w:sz="4" w:space="0"/>
            </w:tcBorders>
            <w:vAlign w:val="center"/>
          </w:tcPr>
          <w:p w14:paraId="16F16EFF">
            <w:pPr>
              <w:jc w:val="center"/>
              <w:rPr>
                <w:rFonts w:ascii="宋体" w:hAnsi="宋体" w:eastAsia="宋体" w:cs="宋体"/>
                <w:kern w:val="2"/>
                <w:sz w:val="21"/>
                <w:szCs w:val="21"/>
                <w:lang w:val="en-US" w:eastAsia="zh-CN" w:bidi="ar-SA"/>
              </w:rPr>
            </w:pPr>
            <w:r>
              <w:rPr>
                <w:rFonts w:hint="eastAsia" w:ascii="宋体" w:hAnsi="宋体" w:cs="宋体"/>
                <w:szCs w:val="21"/>
              </w:rPr>
              <w:t>各种规格</w:t>
            </w:r>
          </w:p>
        </w:tc>
        <w:tc>
          <w:tcPr>
            <w:tcW w:w="1706" w:type="dxa"/>
            <w:tcBorders>
              <w:top w:val="single" w:color="auto" w:sz="4" w:space="0"/>
              <w:left w:val="single" w:color="auto" w:sz="4" w:space="0"/>
              <w:bottom w:val="single" w:color="auto" w:sz="4" w:space="0"/>
              <w:right w:val="single" w:color="auto" w:sz="4" w:space="0"/>
            </w:tcBorders>
            <w:vAlign w:val="center"/>
          </w:tcPr>
          <w:p w14:paraId="2B055780">
            <w:pPr>
              <w:jc w:val="center"/>
              <w:rPr>
                <w:rFonts w:ascii="宋体" w:hAnsi="宋体" w:eastAsia="宋体" w:cs="宋体"/>
                <w:kern w:val="2"/>
                <w:sz w:val="21"/>
                <w:szCs w:val="21"/>
                <w:lang w:val="en-US" w:eastAsia="zh-CN" w:bidi="ar-SA"/>
              </w:rPr>
            </w:pPr>
            <w:r>
              <w:rPr>
                <w:rFonts w:hint="eastAsia" w:ascii="宋体" w:hAnsi="宋体" w:cs="宋体"/>
                <w:szCs w:val="21"/>
              </w:rPr>
              <w:t>满足需要</w:t>
            </w:r>
          </w:p>
        </w:tc>
        <w:tc>
          <w:tcPr>
            <w:tcW w:w="1364" w:type="dxa"/>
            <w:tcBorders>
              <w:top w:val="single" w:color="auto" w:sz="4" w:space="0"/>
              <w:left w:val="single" w:color="auto" w:sz="4" w:space="0"/>
              <w:bottom w:val="single" w:color="auto" w:sz="4" w:space="0"/>
              <w:right w:val="single" w:color="auto" w:sz="4" w:space="0"/>
            </w:tcBorders>
          </w:tcPr>
          <w:p w14:paraId="3490E22B">
            <w:pPr>
              <w:ind w:firstLine="210" w:firstLineChars="100"/>
              <w:jc w:val="center"/>
              <w:rPr>
                <w:rFonts w:ascii="宋体" w:hAnsi="宋体" w:cs="宋体"/>
                <w:color w:val="FF0000"/>
                <w:szCs w:val="21"/>
              </w:rPr>
            </w:pPr>
          </w:p>
        </w:tc>
        <w:tc>
          <w:tcPr>
            <w:tcW w:w="1818" w:type="dxa"/>
            <w:tcBorders>
              <w:top w:val="single" w:color="auto" w:sz="4" w:space="0"/>
              <w:left w:val="single" w:color="auto" w:sz="4" w:space="0"/>
              <w:bottom w:val="single" w:color="auto" w:sz="4" w:space="0"/>
              <w:right w:val="single" w:color="auto" w:sz="4" w:space="0"/>
            </w:tcBorders>
            <w:vAlign w:val="center"/>
          </w:tcPr>
          <w:p w14:paraId="3636F8F7">
            <w:pPr>
              <w:rPr>
                <w:rFonts w:ascii="宋体" w:hAnsi="宋体" w:cs="宋体"/>
                <w:color w:val="FF0000"/>
                <w:szCs w:val="21"/>
              </w:rPr>
            </w:pPr>
          </w:p>
        </w:tc>
      </w:tr>
      <w:tr w14:paraId="690736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63" w:type="dxa"/>
            <w:tcBorders>
              <w:top w:val="single" w:color="auto" w:sz="4" w:space="0"/>
              <w:left w:val="single" w:color="auto" w:sz="4" w:space="0"/>
              <w:bottom w:val="single" w:color="auto" w:sz="4" w:space="0"/>
              <w:right w:val="single" w:color="auto" w:sz="4" w:space="0"/>
            </w:tcBorders>
            <w:vAlign w:val="center"/>
          </w:tcPr>
          <w:p w14:paraId="5BACCCB0">
            <w:pPr>
              <w:jc w:val="center"/>
              <w:rPr>
                <w:rFonts w:ascii="宋体" w:hAnsi="宋体" w:cs="宋体"/>
                <w:bCs/>
                <w:szCs w:val="21"/>
              </w:rPr>
            </w:pPr>
            <w:r>
              <w:rPr>
                <w:rFonts w:hint="eastAsia" w:ascii="宋体" w:hAnsi="宋体" w:cs="宋体"/>
                <w:bCs/>
                <w:szCs w:val="21"/>
              </w:rPr>
              <w:t>4</w:t>
            </w:r>
          </w:p>
        </w:tc>
        <w:tc>
          <w:tcPr>
            <w:tcW w:w="1785" w:type="dxa"/>
            <w:tcBorders>
              <w:top w:val="single" w:color="auto" w:sz="4" w:space="0"/>
              <w:left w:val="single" w:color="auto" w:sz="4" w:space="0"/>
              <w:bottom w:val="single" w:color="auto" w:sz="4" w:space="0"/>
              <w:right w:val="single" w:color="auto" w:sz="4" w:space="0"/>
            </w:tcBorders>
            <w:vAlign w:val="center"/>
          </w:tcPr>
          <w:p w14:paraId="48BA081D">
            <w:pPr>
              <w:tabs>
                <w:tab w:val="left" w:pos="4102"/>
                <w:tab w:val="right" w:pos="4402"/>
              </w:tabs>
              <w:rPr>
                <w:rFonts w:ascii="宋体" w:hAnsi="宋体" w:eastAsia="宋体" w:cs="宋体"/>
                <w:kern w:val="2"/>
                <w:sz w:val="21"/>
                <w:szCs w:val="21"/>
                <w:lang w:val="en-US" w:eastAsia="zh-CN" w:bidi="ar-SA"/>
              </w:rPr>
            </w:pPr>
            <w:r>
              <w:rPr>
                <w:rFonts w:hint="eastAsia" w:ascii="宋体" w:hAnsi="宋体" w:cs="宋体"/>
                <w:szCs w:val="21"/>
              </w:rPr>
              <w:t>呆扳手</w:t>
            </w:r>
          </w:p>
        </w:tc>
        <w:tc>
          <w:tcPr>
            <w:tcW w:w="1060" w:type="dxa"/>
            <w:tcBorders>
              <w:top w:val="single" w:color="auto" w:sz="4" w:space="0"/>
              <w:left w:val="single" w:color="auto" w:sz="4" w:space="0"/>
              <w:bottom w:val="single" w:color="auto" w:sz="4" w:space="0"/>
              <w:right w:val="single" w:color="auto" w:sz="4" w:space="0"/>
            </w:tcBorders>
            <w:vAlign w:val="center"/>
          </w:tcPr>
          <w:p w14:paraId="2C7B33F2">
            <w:pPr>
              <w:jc w:val="center"/>
              <w:rPr>
                <w:rFonts w:ascii="宋体" w:hAnsi="宋体" w:eastAsia="宋体" w:cs="宋体"/>
                <w:kern w:val="2"/>
                <w:sz w:val="21"/>
                <w:szCs w:val="21"/>
                <w:lang w:val="en-US" w:eastAsia="zh-CN" w:bidi="ar-SA"/>
              </w:rPr>
            </w:pPr>
            <w:r>
              <w:rPr>
                <w:rFonts w:hint="eastAsia" w:ascii="宋体" w:hAnsi="宋体" w:cs="宋体"/>
                <w:szCs w:val="21"/>
              </w:rPr>
              <w:t>各种规格</w:t>
            </w:r>
          </w:p>
        </w:tc>
        <w:tc>
          <w:tcPr>
            <w:tcW w:w="1706" w:type="dxa"/>
            <w:tcBorders>
              <w:top w:val="single" w:color="auto" w:sz="4" w:space="0"/>
              <w:left w:val="single" w:color="auto" w:sz="4" w:space="0"/>
              <w:bottom w:val="single" w:color="auto" w:sz="4" w:space="0"/>
              <w:right w:val="single" w:color="auto" w:sz="4" w:space="0"/>
            </w:tcBorders>
            <w:vAlign w:val="center"/>
          </w:tcPr>
          <w:p w14:paraId="578F9548">
            <w:pPr>
              <w:jc w:val="center"/>
              <w:rPr>
                <w:rFonts w:ascii="宋体" w:hAnsi="宋体" w:eastAsia="宋体" w:cs="宋体"/>
                <w:kern w:val="2"/>
                <w:sz w:val="21"/>
                <w:szCs w:val="21"/>
                <w:lang w:val="en-US" w:eastAsia="zh-CN" w:bidi="ar-SA"/>
              </w:rPr>
            </w:pPr>
            <w:r>
              <w:rPr>
                <w:rFonts w:hint="eastAsia" w:ascii="宋体" w:hAnsi="宋体" w:cs="宋体"/>
                <w:szCs w:val="21"/>
              </w:rPr>
              <w:t>满足需要</w:t>
            </w:r>
          </w:p>
        </w:tc>
        <w:tc>
          <w:tcPr>
            <w:tcW w:w="1364" w:type="dxa"/>
            <w:tcBorders>
              <w:top w:val="single" w:color="auto" w:sz="4" w:space="0"/>
              <w:left w:val="single" w:color="auto" w:sz="4" w:space="0"/>
              <w:bottom w:val="single" w:color="auto" w:sz="4" w:space="0"/>
              <w:right w:val="single" w:color="auto" w:sz="4" w:space="0"/>
            </w:tcBorders>
          </w:tcPr>
          <w:p w14:paraId="239CD207">
            <w:pPr>
              <w:jc w:val="center"/>
              <w:rPr>
                <w:rFonts w:ascii="宋体" w:hAnsi="宋体" w:cs="宋体"/>
                <w:bCs/>
                <w:szCs w:val="21"/>
              </w:rPr>
            </w:pPr>
          </w:p>
        </w:tc>
        <w:tc>
          <w:tcPr>
            <w:tcW w:w="1818" w:type="dxa"/>
            <w:tcBorders>
              <w:top w:val="single" w:color="auto" w:sz="4" w:space="0"/>
              <w:left w:val="single" w:color="auto" w:sz="4" w:space="0"/>
              <w:bottom w:val="single" w:color="auto" w:sz="4" w:space="0"/>
              <w:right w:val="single" w:color="auto" w:sz="4" w:space="0"/>
            </w:tcBorders>
            <w:vAlign w:val="center"/>
          </w:tcPr>
          <w:p w14:paraId="477A5C0F">
            <w:pPr>
              <w:jc w:val="center"/>
              <w:rPr>
                <w:rFonts w:ascii="宋体" w:hAnsi="宋体" w:cs="宋体"/>
                <w:bCs/>
                <w:szCs w:val="21"/>
              </w:rPr>
            </w:pPr>
          </w:p>
        </w:tc>
      </w:tr>
      <w:tr w14:paraId="546FEC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63" w:type="dxa"/>
            <w:tcBorders>
              <w:top w:val="single" w:color="auto" w:sz="4" w:space="0"/>
              <w:left w:val="single" w:color="auto" w:sz="4" w:space="0"/>
              <w:bottom w:val="single" w:color="auto" w:sz="4" w:space="0"/>
              <w:right w:val="single" w:color="auto" w:sz="4" w:space="0"/>
            </w:tcBorders>
            <w:vAlign w:val="center"/>
          </w:tcPr>
          <w:p w14:paraId="36F796DA">
            <w:pPr>
              <w:jc w:val="center"/>
              <w:rPr>
                <w:rFonts w:ascii="宋体" w:hAnsi="宋体" w:cs="宋体"/>
                <w:bCs/>
                <w:szCs w:val="21"/>
              </w:rPr>
            </w:pPr>
            <w:r>
              <w:rPr>
                <w:rFonts w:hint="eastAsia" w:ascii="宋体" w:hAnsi="宋体" w:cs="宋体"/>
                <w:bCs/>
                <w:szCs w:val="21"/>
              </w:rPr>
              <w:t>5</w:t>
            </w:r>
          </w:p>
        </w:tc>
        <w:tc>
          <w:tcPr>
            <w:tcW w:w="1785" w:type="dxa"/>
            <w:tcBorders>
              <w:top w:val="single" w:color="auto" w:sz="4" w:space="0"/>
              <w:left w:val="single" w:color="auto" w:sz="4" w:space="0"/>
              <w:bottom w:val="single" w:color="auto" w:sz="4" w:space="0"/>
              <w:right w:val="single" w:color="auto" w:sz="4" w:space="0"/>
            </w:tcBorders>
            <w:vAlign w:val="center"/>
          </w:tcPr>
          <w:p w14:paraId="391CF9FF">
            <w:pPr>
              <w:tabs>
                <w:tab w:val="left" w:pos="4102"/>
                <w:tab w:val="right" w:pos="4402"/>
              </w:tabs>
              <w:rPr>
                <w:rFonts w:ascii="宋体" w:hAnsi="宋体" w:eastAsia="宋体" w:cs="宋体"/>
                <w:kern w:val="2"/>
                <w:sz w:val="21"/>
                <w:szCs w:val="21"/>
                <w:lang w:val="en-US" w:eastAsia="zh-CN" w:bidi="ar-SA"/>
              </w:rPr>
            </w:pPr>
            <w:r>
              <w:rPr>
                <w:rFonts w:hint="eastAsia" w:ascii="宋体" w:hAnsi="宋体" w:cs="宋体"/>
                <w:szCs w:val="21"/>
              </w:rPr>
              <w:t>电动扳手</w:t>
            </w:r>
          </w:p>
        </w:tc>
        <w:tc>
          <w:tcPr>
            <w:tcW w:w="1060" w:type="dxa"/>
            <w:tcBorders>
              <w:top w:val="single" w:color="auto" w:sz="4" w:space="0"/>
              <w:left w:val="single" w:color="auto" w:sz="4" w:space="0"/>
              <w:bottom w:val="single" w:color="auto" w:sz="4" w:space="0"/>
              <w:right w:val="single" w:color="auto" w:sz="4" w:space="0"/>
            </w:tcBorders>
            <w:vAlign w:val="center"/>
          </w:tcPr>
          <w:p w14:paraId="3D63186D">
            <w:pPr>
              <w:tabs>
                <w:tab w:val="left" w:pos="4102"/>
                <w:tab w:val="right" w:pos="4402"/>
              </w:tabs>
              <w:jc w:val="center"/>
              <w:rPr>
                <w:rFonts w:ascii="宋体" w:hAnsi="宋体" w:eastAsia="宋体" w:cs="宋体"/>
                <w:kern w:val="2"/>
                <w:sz w:val="21"/>
                <w:szCs w:val="21"/>
                <w:lang w:val="en-US" w:eastAsia="zh-CN" w:bidi="ar-SA"/>
              </w:rPr>
            </w:pPr>
            <w:r>
              <w:rPr>
                <w:rFonts w:hint="eastAsia" w:ascii="宋体" w:hAnsi="宋体" w:cs="宋体"/>
                <w:szCs w:val="21"/>
              </w:rPr>
              <w:t>各种规格</w:t>
            </w:r>
          </w:p>
        </w:tc>
        <w:tc>
          <w:tcPr>
            <w:tcW w:w="1706" w:type="dxa"/>
            <w:tcBorders>
              <w:top w:val="single" w:color="auto" w:sz="4" w:space="0"/>
              <w:left w:val="single" w:color="auto" w:sz="4" w:space="0"/>
              <w:bottom w:val="single" w:color="auto" w:sz="4" w:space="0"/>
              <w:right w:val="single" w:color="auto" w:sz="4" w:space="0"/>
            </w:tcBorders>
            <w:vAlign w:val="center"/>
          </w:tcPr>
          <w:p w14:paraId="3058DA57">
            <w:pPr>
              <w:tabs>
                <w:tab w:val="left" w:pos="4102"/>
                <w:tab w:val="right" w:pos="4402"/>
              </w:tabs>
              <w:jc w:val="center"/>
              <w:rPr>
                <w:rFonts w:ascii="宋体" w:hAnsi="宋体" w:eastAsia="宋体" w:cs="宋体"/>
                <w:kern w:val="2"/>
                <w:sz w:val="21"/>
                <w:szCs w:val="21"/>
                <w:lang w:val="en-US" w:eastAsia="zh-CN" w:bidi="ar-SA"/>
              </w:rPr>
            </w:pPr>
            <w:r>
              <w:rPr>
                <w:rFonts w:hint="eastAsia" w:ascii="宋体" w:hAnsi="宋体" w:cs="宋体"/>
                <w:szCs w:val="21"/>
              </w:rPr>
              <w:t>满足需要</w:t>
            </w:r>
          </w:p>
        </w:tc>
        <w:tc>
          <w:tcPr>
            <w:tcW w:w="1364" w:type="dxa"/>
            <w:tcBorders>
              <w:top w:val="single" w:color="auto" w:sz="4" w:space="0"/>
              <w:left w:val="single" w:color="auto" w:sz="4" w:space="0"/>
              <w:bottom w:val="single" w:color="auto" w:sz="4" w:space="0"/>
              <w:right w:val="single" w:color="auto" w:sz="4" w:space="0"/>
            </w:tcBorders>
          </w:tcPr>
          <w:p w14:paraId="71AD1BB6">
            <w:pPr>
              <w:jc w:val="center"/>
              <w:rPr>
                <w:rFonts w:ascii="宋体" w:hAnsi="宋体" w:cs="宋体"/>
                <w:bCs/>
                <w:szCs w:val="21"/>
              </w:rPr>
            </w:pPr>
          </w:p>
        </w:tc>
        <w:tc>
          <w:tcPr>
            <w:tcW w:w="1818" w:type="dxa"/>
            <w:tcBorders>
              <w:top w:val="single" w:color="auto" w:sz="4" w:space="0"/>
              <w:left w:val="single" w:color="auto" w:sz="4" w:space="0"/>
              <w:bottom w:val="single" w:color="auto" w:sz="4" w:space="0"/>
              <w:right w:val="single" w:color="auto" w:sz="4" w:space="0"/>
            </w:tcBorders>
            <w:vAlign w:val="center"/>
          </w:tcPr>
          <w:p w14:paraId="111B648F">
            <w:pPr>
              <w:jc w:val="center"/>
              <w:rPr>
                <w:rFonts w:ascii="宋体" w:hAnsi="宋体" w:cs="宋体"/>
                <w:bCs/>
                <w:szCs w:val="21"/>
              </w:rPr>
            </w:pPr>
          </w:p>
        </w:tc>
      </w:tr>
      <w:tr w14:paraId="39776F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63" w:type="dxa"/>
            <w:tcBorders>
              <w:top w:val="single" w:color="auto" w:sz="4" w:space="0"/>
              <w:left w:val="single" w:color="auto" w:sz="4" w:space="0"/>
              <w:bottom w:val="single" w:color="auto" w:sz="4" w:space="0"/>
              <w:right w:val="single" w:color="auto" w:sz="4" w:space="0"/>
            </w:tcBorders>
            <w:vAlign w:val="center"/>
          </w:tcPr>
          <w:p w14:paraId="3D5E73A8">
            <w:pPr>
              <w:jc w:val="center"/>
              <w:rPr>
                <w:rFonts w:ascii="宋体" w:hAnsi="宋体" w:cs="宋体"/>
                <w:bCs/>
                <w:szCs w:val="21"/>
              </w:rPr>
            </w:pPr>
            <w:r>
              <w:rPr>
                <w:rFonts w:hint="eastAsia" w:ascii="宋体" w:hAnsi="宋体" w:cs="宋体"/>
                <w:bCs/>
                <w:szCs w:val="21"/>
              </w:rPr>
              <w:t>6</w:t>
            </w:r>
          </w:p>
        </w:tc>
        <w:tc>
          <w:tcPr>
            <w:tcW w:w="1785" w:type="dxa"/>
            <w:tcBorders>
              <w:top w:val="single" w:color="auto" w:sz="4" w:space="0"/>
              <w:left w:val="single" w:color="auto" w:sz="4" w:space="0"/>
              <w:bottom w:val="single" w:color="auto" w:sz="4" w:space="0"/>
              <w:right w:val="single" w:color="auto" w:sz="4" w:space="0"/>
            </w:tcBorders>
            <w:vAlign w:val="center"/>
          </w:tcPr>
          <w:p w14:paraId="2B0FD7FB">
            <w:pPr>
              <w:tabs>
                <w:tab w:val="left" w:pos="4102"/>
                <w:tab w:val="right" w:pos="4402"/>
              </w:tabs>
              <w:rPr>
                <w:rFonts w:ascii="宋体" w:hAnsi="宋体" w:eastAsia="宋体" w:cs="宋体"/>
                <w:kern w:val="2"/>
                <w:sz w:val="21"/>
                <w:szCs w:val="21"/>
                <w:lang w:val="en-US" w:eastAsia="zh-CN" w:bidi="ar-SA"/>
              </w:rPr>
            </w:pPr>
            <w:r>
              <w:rPr>
                <w:rFonts w:hint="eastAsia" w:ascii="宋体" w:hAnsi="宋体" w:cs="宋体"/>
                <w:szCs w:val="21"/>
              </w:rPr>
              <w:t>机械拉马</w:t>
            </w:r>
          </w:p>
        </w:tc>
        <w:tc>
          <w:tcPr>
            <w:tcW w:w="1060" w:type="dxa"/>
            <w:tcBorders>
              <w:top w:val="single" w:color="auto" w:sz="4" w:space="0"/>
              <w:left w:val="single" w:color="auto" w:sz="4" w:space="0"/>
              <w:bottom w:val="single" w:color="auto" w:sz="4" w:space="0"/>
              <w:right w:val="single" w:color="auto" w:sz="4" w:space="0"/>
            </w:tcBorders>
            <w:vAlign w:val="center"/>
          </w:tcPr>
          <w:p w14:paraId="41AE2F6F">
            <w:pPr>
              <w:tabs>
                <w:tab w:val="left" w:pos="4102"/>
                <w:tab w:val="right" w:pos="4402"/>
              </w:tabs>
              <w:jc w:val="center"/>
              <w:rPr>
                <w:rFonts w:ascii="宋体" w:hAnsi="宋体" w:eastAsia="宋体" w:cs="宋体"/>
                <w:kern w:val="2"/>
                <w:sz w:val="21"/>
                <w:szCs w:val="21"/>
                <w:lang w:val="en-US" w:eastAsia="zh-CN" w:bidi="ar-SA"/>
              </w:rPr>
            </w:pPr>
          </w:p>
        </w:tc>
        <w:tc>
          <w:tcPr>
            <w:tcW w:w="1706" w:type="dxa"/>
            <w:tcBorders>
              <w:top w:val="single" w:color="auto" w:sz="4" w:space="0"/>
              <w:left w:val="single" w:color="auto" w:sz="4" w:space="0"/>
              <w:bottom w:val="single" w:color="auto" w:sz="4" w:space="0"/>
              <w:right w:val="single" w:color="auto" w:sz="4" w:space="0"/>
            </w:tcBorders>
            <w:vAlign w:val="center"/>
          </w:tcPr>
          <w:p w14:paraId="21E73116">
            <w:pPr>
              <w:tabs>
                <w:tab w:val="left" w:pos="4102"/>
                <w:tab w:val="right" w:pos="4402"/>
              </w:tabs>
              <w:jc w:val="center"/>
              <w:rPr>
                <w:rFonts w:ascii="宋体" w:hAnsi="宋体" w:eastAsia="宋体" w:cs="宋体"/>
                <w:kern w:val="2"/>
                <w:sz w:val="21"/>
                <w:szCs w:val="21"/>
                <w:lang w:val="en-US" w:eastAsia="zh-CN" w:bidi="ar-SA"/>
              </w:rPr>
            </w:pPr>
            <w:r>
              <w:rPr>
                <w:rFonts w:hint="eastAsia" w:ascii="宋体" w:hAnsi="宋体" w:cs="宋体"/>
                <w:szCs w:val="21"/>
              </w:rPr>
              <w:t>满足需要</w:t>
            </w:r>
          </w:p>
        </w:tc>
        <w:tc>
          <w:tcPr>
            <w:tcW w:w="1364" w:type="dxa"/>
            <w:tcBorders>
              <w:top w:val="single" w:color="auto" w:sz="4" w:space="0"/>
              <w:left w:val="single" w:color="auto" w:sz="4" w:space="0"/>
              <w:bottom w:val="single" w:color="auto" w:sz="4" w:space="0"/>
              <w:right w:val="single" w:color="auto" w:sz="4" w:space="0"/>
            </w:tcBorders>
          </w:tcPr>
          <w:p w14:paraId="2225A69C">
            <w:pPr>
              <w:jc w:val="center"/>
              <w:rPr>
                <w:rFonts w:ascii="宋体" w:hAnsi="宋体" w:cs="宋体"/>
                <w:bCs/>
                <w:szCs w:val="21"/>
              </w:rPr>
            </w:pPr>
          </w:p>
        </w:tc>
        <w:tc>
          <w:tcPr>
            <w:tcW w:w="1818" w:type="dxa"/>
            <w:tcBorders>
              <w:top w:val="single" w:color="auto" w:sz="4" w:space="0"/>
              <w:left w:val="single" w:color="auto" w:sz="4" w:space="0"/>
              <w:bottom w:val="single" w:color="auto" w:sz="4" w:space="0"/>
              <w:right w:val="single" w:color="auto" w:sz="4" w:space="0"/>
            </w:tcBorders>
            <w:vAlign w:val="center"/>
          </w:tcPr>
          <w:p w14:paraId="4DEB8C39">
            <w:pPr>
              <w:jc w:val="center"/>
              <w:rPr>
                <w:rFonts w:ascii="宋体" w:hAnsi="宋体" w:cs="宋体"/>
                <w:bCs/>
                <w:szCs w:val="21"/>
              </w:rPr>
            </w:pPr>
          </w:p>
        </w:tc>
      </w:tr>
      <w:tr w14:paraId="76B174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63" w:type="dxa"/>
            <w:tcBorders>
              <w:top w:val="single" w:color="auto" w:sz="4" w:space="0"/>
              <w:left w:val="single" w:color="auto" w:sz="4" w:space="0"/>
              <w:bottom w:val="single" w:color="auto" w:sz="4" w:space="0"/>
              <w:right w:val="single" w:color="auto" w:sz="4" w:space="0"/>
            </w:tcBorders>
            <w:vAlign w:val="center"/>
          </w:tcPr>
          <w:p w14:paraId="06C77AF2">
            <w:pPr>
              <w:jc w:val="center"/>
              <w:rPr>
                <w:rFonts w:ascii="宋体" w:hAnsi="宋体" w:cs="宋体"/>
                <w:bCs/>
                <w:szCs w:val="21"/>
              </w:rPr>
            </w:pPr>
            <w:r>
              <w:rPr>
                <w:rFonts w:hint="eastAsia" w:ascii="宋体" w:hAnsi="宋体" w:cs="宋体"/>
                <w:bCs/>
                <w:szCs w:val="21"/>
              </w:rPr>
              <w:t>7</w:t>
            </w:r>
          </w:p>
        </w:tc>
        <w:tc>
          <w:tcPr>
            <w:tcW w:w="1785" w:type="dxa"/>
            <w:tcBorders>
              <w:top w:val="single" w:color="auto" w:sz="4" w:space="0"/>
              <w:left w:val="single" w:color="auto" w:sz="4" w:space="0"/>
              <w:bottom w:val="single" w:color="auto" w:sz="4" w:space="0"/>
              <w:right w:val="single" w:color="auto" w:sz="4" w:space="0"/>
            </w:tcBorders>
            <w:vAlign w:val="center"/>
          </w:tcPr>
          <w:p w14:paraId="5756925F">
            <w:pPr>
              <w:tabs>
                <w:tab w:val="left" w:pos="4102"/>
                <w:tab w:val="right" w:pos="4402"/>
              </w:tabs>
              <w:rPr>
                <w:rFonts w:ascii="宋体" w:hAnsi="宋体" w:eastAsia="宋体" w:cs="宋体"/>
                <w:kern w:val="2"/>
                <w:sz w:val="21"/>
                <w:szCs w:val="21"/>
                <w:lang w:val="en-US" w:eastAsia="zh-CN" w:bidi="ar-SA"/>
              </w:rPr>
            </w:pPr>
            <w:r>
              <w:rPr>
                <w:rFonts w:hint="eastAsia" w:ascii="宋体" w:hAnsi="宋体" w:cs="宋体"/>
                <w:szCs w:val="21"/>
              </w:rPr>
              <w:t>加油枪</w:t>
            </w:r>
          </w:p>
        </w:tc>
        <w:tc>
          <w:tcPr>
            <w:tcW w:w="1060" w:type="dxa"/>
            <w:tcBorders>
              <w:top w:val="single" w:color="auto" w:sz="4" w:space="0"/>
              <w:left w:val="single" w:color="auto" w:sz="4" w:space="0"/>
              <w:bottom w:val="single" w:color="auto" w:sz="4" w:space="0"/>
              <w:right w:val="single" w:color="auto" w:sz="4" w:space="0"/>
            </w:tcBorders>
            <w:vAlign w:val="center"/>
          </w:tcPr>
          <w:p w14:paraId="290AE107">
            <w:pPr>
              <w:tabs>
                <w:tab w:val="left" w:pos="4102"/>
                <w:tab w:val="right" w:pos="4402"/>
              </w:tabs>
              <w:jc w:val="center"/>
              <w:rPr>
                <w:rFonts w:ascii="宋体" w:hAnsi="宋体" w:eastAsia="宋体" w:cs="宋体"/>
                <w:kern w:val="2"/>
                <w:sz w:val="21"/>
                <w:szCs w:val="21"/>
                <w:lang w:val="en-US" w:eastAsia="zh-CN" w:bidi="ar-SA"/>
              </w:rPr>
            </w:pPr>
          </w:p>
        </w:tc>
        <w:tc>
          <w:tcPr>
            <w:tcW w:w="1706" w:type="dxa"/>
            <w:tcBorders>
              <w:top w:val="single" w:color="auto" w:sz="4" w:space="0"/>
              <w:left w:val="single" w:color="auto" w:sz="4" w:space="0"/>
              <w:bottom w:val="single" w:color="auto" w:sz="4" w:space="0"/>
              <w:right w:val="single" w:color="auto" w:sz="4" w:space="0"/>
            </w:tcBorders>
            <w:vAlign w:val="center"/>
          </w:tcPr>
          <w:p w14:paraId="02181CCA">
            <w:pPr>
              <w:tabs>
                <w:tab w:val="left" w:pos="4102"/>
                <w:tab w:val="right" w:pos="4402"/>
              </w:tabs>
              <w:jc w:val="center"/>
              <w:rPr>
                <w:rFonts w:ascii="宋体" w:hAnsi="宋体" w:eastAsia="宋体" w:cs="宋体"/>
                <w:kern w:val="2"/>
                <w:sz w:val="21"/>
                <w:szCs w:val="21"/>
                <w:lang w:val="en-US" w:eastAsia="zh-CN" w:bidi="ar-SA"/>
              </w:rPr>
            </w:pPr>
            <w:r>
              <w:rPr>
                <w:rFonts w:hint="eastAsia" w:ascii="宋体" w:hAnsi="宋体" w:cs="宋体"/>
                <w:szCs w:val="21"/>
              </w:rPr>
              <w:t>满足需要</w:t>
            </w:r>
          </w:p>
        </w:tc>
        <w:tc>
          <w:tcPr>
            <w:tcW w:w="1364" w:type="dxa"/>
            <w:tcBorders>
              <w:top w:val="single" w:color="auto" w:sz="4" w:space="0"/>
              <w:left w:val="single" w:color="auto" w:sz="4" w:space="0"/>
              <w:bottom w:val="single" w:color="auto" w:sz="4" w:space="0"/>
              <w:right w:val="single" w:color="auto" w:sz="4" w:space="0"/>
            </w:tcBorders>
          </w:tcPr>
          <w:p w14:paraId="6D0979C9">
            <w:pPr>
              <w:ind w:firstLine="210" w:firstLineChars="100"/>
              <w:jc w:val="center"/>
              <w:rPr>
                <w:rFonts w:ascii="宋体" w:hAnsi="宋体" w:cs="宋体"/>
                <w:bCs/>
                <w:szCs w:val="21"/>
              </w:rPr>
            </w:pPr>
          </w:p>
        </w:tc>
        <w:tc>
          <w:tcPr>
            <w:tcW w:w="1818" w:type="dxa"/>
            <w:tcBorders>
              <w:top w:val="single" w:color="auto" w:sz="4" w:space="0"/>
              <w:left w:val="single" w:color="auto" w:sz="4" w:space="0"/>
              <w:bottom w:val="single" w:color="auto" w:sz="4" w:space="0"/>
              <w:right w:val="single" w:color="auto" w:sz="4" w:space="0"/>
            </w:tcBorders>
            <w:vAlign w:val="center"/>
          </w:tcPr>
          <w:p w14:paraId="449D9ADC">
            <w:pPr>
              <w:ind w:firstLine="210" w:firstLineChars="100"/>
              <w:jc w:val="center"/>
              <w:rPr>
                <w:rFonts w:ascii="宋体" w:hAnsi="宋体" w:cs="宋体"/>
                <w:bCs/>
                <w:szCs w:val="21"/>
              </w:rPr>
            </w:pPr>
          </w:p>
        </w:tc>
      </w:tr>
      <w:tr w14:paraId="54B778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63" w:type="dxa"/>
            <w:tcBorders>
              <w:top w:val="single" w:color="auto" w:sz="4" w:space="0"/>
              <w:left w:val="single" w:color="auto" w:sz="4" w:space="0"/>
              <w:bottom w:val="single" w:color="auto" w:sz="4" w:space="0"/>
              <w:right w:val="single" w:color="auto" w:sz="4" w:space="0"/>
            </w:tcBorders>
            <w:vAlign w:val="center"/>
          </w:tcPr>
          <w:p w14:paraId="6C1C754D">
            <w:pPr>
              <w:jc w:val="center"/>
              <w:rPr>
                <w:rFonts w:ascii="宋体" w:hAnsi="宋体" w:cs="宋体"/>
                <w:bCs/>
                <w:szCs w:val="21"/>
              </w:rPr>
            </w:pPr>
            <w:r>
              <w:rPr>
                <w:rFonts w:hint="eastAsia" w:ascii="宋体" w:hAnsi="宋体" w:cs="宋体"/>
                <w:bCs/>
                <w:szCs w:val="21"/>
              </w:rPr>
              <w:t>8</w:t>
            </w:r>
          </w:p>
        </w:tc>
        <w:tc>
          <w:tcPr>
            <w:tcW w:w="1785" w:type="dxa"/>
            <w:tcBorders>
              <w:top w:val="single" w:color="auto" w:sz="4" w:space="0"/>
              <w:left w:val="single" w:color="auto" w:sz="4" w:space="0"/>
              <w:bottom w:val="single" w:color="auto" w:sz="4" w:space="0"/>
              <w:right w:val="single" w:color="auto" w:sz="4" w:space="0"/>
            </w:tcBorders>
            <w:vAlign w:val="center"/>
          </w:tcPr>
          <w:p w14:paraId="25F71F45">
            <w:pPr>
              <w:rPr>
                <w:rFonts w:ascii="宋体" w:hAnsi="宋体" w:eastAsia="宋体" w:cs="宋体"/>
                <w:bCs/>
                <w:kern w:val="2"/>
                <w:sz w:val="21"/>
                <w:szCs w:val="21"/>
                <w:lang w:val="en-US" w:eastAsia="zh-CN" w:bidi="ar-SA"/>
              </w:rPr>
            </w:pPr>
            <w:r>
              <w:rPr>
                <w:rFonts w:hint="eastAsia" w:ascii="宋体" w:hAnsi="宋体" w:cs="宋体"/>
                <w:szCs w:val="21"/>
              </w:rPr>
              <w:t>盘根钩</w:t>
            </w:r>
          </w:p>
        </w:tc>
        <w:tc>
          <w:tcPr>
            <w:tcW w:w="1060" w:type="dxa"/>
            <w:tcBorders>
              <w:top w:val="single" w:color="auto" w:sz="4" w:space="0"/>
              <w:left w:val="single" w:color="auto" w:sz="4" w:space="0"/>
              <w:bottom w:val="single" w:color="auto" w:sz="4" w:space="0"/>
              <w:right w:val="single" w:color="auto" w:sz="4" w:space="0"/>
            </w:tcBorders>
            <w:vAlign w:val="center"/>
          </w:tcPr>
          <w:p w14:paraId="2659E96D">
            <w:pPr>
              <w:ind w:right="15" w:rightChars="7"/>
              <w:rPr>
                <w:rFonts w:ascii="宋体" w:hAnsi="宋体" w:eastAsia="宋体" w:cs="宋体"/>
                <w:kern w:val="2"/>
                <w:sz w:val="21"/>
                <w:szCs w:val="21"/>
                <w:lang w:val="en-US" w:eastAsia="zh-CN" w:bidi="ar-SA"/>
              </w:rPr>
            </w:pPr>
          </w:p>
        </w:tc>
        <w:tc>
          <w:tcPr>
            <w:tcW w:w="1706" w:type="dxa"/>
            <w:tcBorders>
              <w:top w:val="single" w:color="auto" w:sz="4" w:space="0"/>
              <w:left w:val="single" w:color="auto" w:sz="4" w:space="0"/>
              <w:bottom w:val="single" w:color="auto" w:sz="4" w:space="0"/>
              <w:right w:val="single" w:color="auto" w:sz="4" w:space="0"/>
            </w:tcBorders>
            <w:vAlign w:val="center"/>
          </w:tcPr>
          <w:p w14:paraId="146E0A38">
            <w:pPr>
              <w:tabs>
                <w:tab w:val="left" w:pos="4102"/>
                <w:tab w:val="right" w:pos="4402"/>
              </w:tabs>
              <w:jc w:val="center"/>
              <w:rPr>
                <w:rFonts w:ascii="宋体" w:hAnsi="宋体" w:eastAsia="宋体" w:cs="宋体"/>
                <w:kern w:val="2"/>
                <w:sz w:val="21"/>
                <w:szCs w:val="21"/>
                <w:lang w:val="en-US" w:eastAsia="zh-CN" w:bidi="ar-SA"/>
              </w:rPr>
            </w:pPr>
            <w:r>
              <w:rPr>
                <w:rFonts w:hint="eastAsia" w:ascii="宋体" w:hAnsi="宋体" w:cs="宋体"/>
                <w:szCs w:val="21"/>
              </w:rPr>
              <w:t>满足需要</w:t>
            </w:r>
          </w:p>
        </w:tc>
        <w:tc>
          <w:tcPr>
            <w:tcW w:w="1364" w:type="dxa"/>
            <w:tcBorders>
              <w:top w:val="single" w:color="auto" w:sz="4" w:space="0"/>
              <w:left w:val="single" w:color="auto" w:sz="4" w:space="0"/>
              <w:bottom w:val="single" w:color="auto" w:sz="4" w:space="0"/>
              <w:right w:val="single" w:color="auto" w:sz="4" w:space="0"/>
            </w:tcBorders>
          </w:tcPr>
          <w:p w14:paraId="142DDEF7">
            <w:pPr>
              <w:jc w:val="center"/>
              <w:rPr>
                <w:rFonts w:ascii="宋体" w:hAnsi="宋体" w:cs="宋体"/>
                <w:bCs/>
                <w:szCs w:val="21"/>
              </w:rPr>
            </w:pPr>
          </w:p>
        </w:tc>
        <w:tc>
          <w:tcPr>
            <w:tcW w:w="1818" w:type="dxa"/>
            <w:tcBorders>
              <w:top w:val="single" w:color="auto" w:sz="4" w:space="0"/>
              <w:left w:val="single" w:color="auto" w:sz="4" w:space="0"/>
              <w:bottom w:val="single" w:color="auto" w:sz="4" w:space="0"/>
              <w:right w:val="single" w:color="auto" w:sz="4" w:space="0"/>
            </w:tcBorders>
            <w:vAlign w:val="center"/>
          </w:tcPr>
          <w:p w14:paraId="7FD1E90C">
            <w:pPr>
              <w:jc w:val="center"/>
              <w:rPr>
                <w:rFonts w:ascii="宋体" w:hAnsi="宋体" w:cs="宋体"/>
                <w:bCs/>
                <w:szCs w:val="21"/>
              </w:rPr>
            </w:pPr>
          </w:p>
        </w:tc>
      </w:tr>
      <w:tr w14:paraId="52F458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63" w:type="dxa"/>
            <w:tcBorders>
              <w:top w:val="single" w:color="auto" w:sz="4" w:space="0"/>
              <w:left w:val="single" w:color="auto" w:sz="4" w:space="0"/>
              <w:bottom w:val="single" w:color="auto" w:sz="4" w:space="0"/>
              <w:right w:val="single" w:color="auto" w:sz="4" w:space="0"/>
            </w:tcBorders>
            <w:vAlign w:val="center"/>
          </w:tcPr>
          <w:p w14:paraId="0B04EEA4">
            <w:pPr>
              <w:jc w:val="center"/>
              <w:rPr>
                <w:rFonts w:ascii="宋体" w:hAnsi="宋体" w:cs="宋体"/>
                <w:bCs/>
                <w:szCs w:val="21"/>
              </w:rPr>
            </w:pPr>
            <w:r>
              <w:rPr>
                <w:rFonts w:hint="eastAsia" w:ascii="宋体" w:hAnsi="宋体" w:cs="宋体"/>
                <w:bCs/>
                <w:szCs w:val="21"/>
              </w:rPr>
              <w:t>9</w:t>
            </w:r>
          </w:p>
        </w:tc>
        <w:tc>
          <w:tcPr>
            <w:tcW w:w="1785" w:type="dxa"/>
            <w:tcBorders>
              <w:top w:val="single" w:color="auto" w:sz="4" w:space="0"/>
              <w:left w:val="single" w:color="auto" w:sz="4" w:space="0"/>
              <w:bottom w:val="single" w:color="auto" w:sz="4" w:space="0"/>
              <w:right w:val="single" w:color="auto" w:sz="4" w:space="0"/>
            </w:tcBorders>
            <w:vAlign w:val="center"/>
          </w:tcPr>
          <w:p w14:paraId="609D221F">
            <w:pPr>
              <w:tabs>
                <w:tab w:val="left" w:pos="4102"/>
                <w:tab w:val="right" w:pos="4402"/>
              </w:tabs>
              <w:rPr>
                <w:rFonts w:hint="default" w:ascii="宋体" w:hAnsi="宋体" w:eastAsia="宋体" w:cs="宋体"/>
                <w:szCs w:val="21"/>
                <w:lang w:val="en-US" w:eastAsia="zh-CN"/>
              </w:rPr>
            </w:pPr>
            <w:r>
              <w:rPr>
                <w:rFonts w:hint="eastAsia" w:ascii="宋体" w:hAnsi="宋体" w:cs="宋体"/>
                <w:szCs w:val="21"/>
                <w:lang w:val="en-US" w:eastAsia="zh-CN"/>
              </w:rPr>
              <w:t>......</w:t>
            </w:r>
          </w:p>
        </w:tc>
        <w:tc>
          <w:tcPr>
            <w:tcW w:w="1060" w:type="dxa"/>
            <w:tcBorders>
              <w:top w:val="single" w:color="auto" w:sz="4" w:space="0"/>
              <w:left w:val="single" w:color="auto" w:sz="4" w:space="0"/>
              <w:bottom w:val="single" w:color="auto" w:sz="4" w:space="0"/>
              <w:right w:val="single" w:color="auto" w:sz="4" w:space="0"/>
            </w:tcBorders>
            <w:vAlign w:val="center"/>
          </w:tcPr>
          <w:p w14:paraId="6DD602D9">
            <w:pPr>
              <w:tabs>
                <w:tab w:val="left" w:pos="4102"/>
                <w:tab w:val="right" w:pos="4402"/>
              </w:tabs>
              <w:jc w:val="center"/>
              <w:rPr>
                <w:rFonts w:ascii="宋体" w:hAnsi="宋体" w:cs="宋体"/>
                <w:szCs w:val="21"/>
              </w:rPr>
            </w:pPr>
          </w:p>
        </w:tc>
        <w:tc>
          <w:tcPr>
            <w:tcW w:w="1706" w:type="dxa"/>
            <w:tcBorders>
              <w:top w:val="single" w:color="auto" w:sz="4" w:space="0"/>
              <w:left w:val="single" w:color="auto" w:sz="4" w:space="0"/>
              <w:bottom w:val="single" w:color="auto" w:sz="4" w:space="0"/>
              <w:right w:val="single" w:color="auto" w:sz="4" w:space="0"/>
            </w:tcBorders>
            <w:vAlign w:val="center"/>
          </w:tcPr>
          <w:p w14:paraId="3499A990">
            <w:pPr>
              <w:tabs>
                <w:tab w:val="left" w:pos="4102"/>
                <w:tab w:val="right" w:pos="4402"/>
              </w:tabs>
              <w:jc w:val="center"/>
              <w:rPr>
                <w:rFonts w:ascii="宋体" w:hAnsi="宋体" w:cs="宋体"/>
                <w:szCs w:val="21"/>
              </w:rPr>
            </w:pPr>
          </w:p>
        </w:tc>
        <w:tc>
          <w:tcPr>
            <w:tcW w:w="1364" w:type="dxa"/>
            <w:tcBorders>
              <w:top w:val="single" w:color="auto" w:sz="4" w:space="0"/>
              <w:left w:val="single" w:color="auto" w:sz="4" w:space="0"/>
              <w:bottom w:val="single" w:color="auto" w:sz="4" w:space="0"/>
              <w:right w:val="single" w:color="auto" w:sz="4" w:space="0"/>
            </w:tcBorders>
          </w:tcPr>
          <w:p w14:paraId="42C8BAF5">
            <w:pPr>
              <w:jc w:val="center"/>
              <w:rPr>
                <w:rFonts w:ascii="宋体" w:hAnsi="宋体" w:cs="宋体"/>
                <w:bCs/>
                <w:szCs w:val="21"/>
              </w:rPr>
            </w:pPr>
          </w:p>
        </w:tc>
        <w:tc>
          <w:tcPr>
            <w:tcW w:w="1818" w:type="dxa"/>
            <w:tcBorders>
              <w:top w:val="single" w:color="auto" w:sz="4" w:space="0"/>
              <w:left w:val="single" w:color="auto" w:sz="4" w:space="0"/>
              <w:bottom w:val="single" w:color="auto" w:sz="4" w:space="0"/>
              <w:right w:val="single" w:color="auto" w:sz="4" w:space="0"/>
            </w:tcBorders>
            <w:vAlign w:val="center"/>
          </w:tcPr>
          <w:p w14:paraId="42CF5B60">
            <w:pPr>
              <w:jc w:val="center"/>
              <w:rPr>
                <w:rFonts w:ascii="宋体" w:hAnsi="宋体" w:cs="宋体"/>
                <w:bCs/>
                <w:szCs w:val="21"/>
              </w:rPr>
            </w:pPr>
          </w:p>
        </w:tc>
      </w:tr>
      <w:tr w14:paraId="45DD2B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63" w:type="dxa"/>
            <w:tcBorders>
              <w:top w:val="single" w:color="auto" w:sz="4" w:space="0"/>
              <w:left w:val="single" w:color="auto" w:sz="4" w:space="0"/>
              <w:bottom w:val="single" w:color="auto" w:sz="4" w:space="0"/>
              <w:right w:val="single" w:color="auto" w:sz="4" w:space="0"/>
            </w:tcBorders>
            <w:vAlign w:val="center"/>
          </w:tcPr>
          <w:p w14:paraId="441FFCB8">
            <w:pPr>
              <w:jc w:val="center"/>
              <w:rPr>
                <w:rFonts w:ascii="宋体" w:hAnsi="宋体" w:cs="宋体"/>
                <w:bCs/>
                <w:szCs w:val="21"/>
              </w:rPr>
            </w:pPr>
            <w:r>
              <w:rPr>
                <w:rFonts w:hint="eastAsia" w:ascii="宋体" w:hAnsi="宋体" w:cs="宋体"/>
                <w:bCs/>
                <w:szCs w:val="21"/>
              </w:rPr>
              <w:t>10</w:t>
            </w:r>
          </w:p>
        </w:tc>
        <w:tc>
          <w:tcPr>
            <w:tcW w:w="1785" w:type="dxa"/>
            <w:tcBorders>
              <w:top w:val="single" w:color="auto" w:sz="4" w:space="0"/>
              <w:left w:val="single" w:color="auto" w:sz="4" w:space="0"/>
              <w:bottom w:val="single" w:color="auto" w:sz="4" w:space="0"/>
              <w:right w:val="single" w:color="auto" w:sz="4" w:space="0"/>
            </w:tcBorders>
            <w:vAlign w:val="center"/>
          </w:tcPr>
          <w:p w14:paraId="087BB307">
            <w:pPr>
              <w:tabs>
                <w:tab w:val="left" w:pos="4102"/>
                <w:tab w:val="right" w:pos="4402"/>
              </w:tabs>
              <w:rPr>
                <w:rFonts w:ascii="宋体" w:hAnsi="宋体" w:cs="宋体"/>
                <w:szCs w:val="21"/>
              </w:rPr>
            </w:pPr>
          </w:p>
        </w:tc>
        <w:tc>
          <w:tcPr>
            <w:tcW w:w="1060" w:type="dxa"/>
            <w:tcBorders>
              <w:top w:val="single" w:color="auto" w:sz="4" w:space="0"/>
              <w:left w:val="single" w:color="auto" w:sz="4" w:space="0"/>
              <w:bottom w:val="single" w:color="auto" w:sz="4" w:space="0"/>
              <w:right w:val="single" w:color="auto" w:sz="4" w:space="0"/>
            </w:tcBorders>
            <w:vAlign w:val="center"/>
          </w:tcPr>
          <w:p w14:paraId="3D10604B">
            <w:pPr>
              <w:tabs>
                <w:tab w:val="left" w:pos="4102"/>
                <w:tab w:val="right" w:pos="4402"/>
              </w:tabs>
              <w:jc w:val="center"/>
              <w:rPr>
                <w:rFonts w:ascii="宋体" w:hAnsi="宋体" w:cs="宋体"/>
                <w:szCs w:val="21"/>
              </w:rPr>
            </w:pPr>
          </w:p>
        </w:tc>
        <w:tc>
          <w:tcPr>
            <w:tcW w:w="1706" w:type="dxa"/>
            <w:tcBorders>
              <w:top w:val="single" w:color="auto" w:sz="4" w:space="0"/>
              <w:left w:val="single" w:color="auto" w:sz="4" w:space="0"/>
              <w:bottom w:val="single" w:color="auto" w:sz="4" w:space="0"/>
              <w:right w:val="single" w:color="auto" w:sz="4" w:space="0"/>
            </w:tcBorders>
            <w:vAlign w:val="center"/>
          </w:tcPr>
          <w:p w14:paraId="466D2A3C">
            <w:pPr>
              <w:tabs>
                <w:tab w:val="left" w:pos="4102"/>
                <w:tab w:val="right" w:pos="4402"/>
              </w:tabs>
              <w:jc w:val="center"/>
              <w:rPr>
                <w:rFonts w:ascii="宋体" w:hAnsi="宋体" w:cs="宋体"/>
                <w:szCs w:val="21"/>
              </w:rPr>
            </w:pPr>
          </w:p>
        </w:tc>
        <w:tc>
          <w:tcPr>
            <w:tcW w:w="1364" w:type="dxa"/>
            <w:tcBorders>
              <w:top w:val="single" w:color="auto" w:sz="4" w:space="0"/>
              <w:left w:val="single" w:color="auto" w:sz="4" w:space="0"/>
              <w:bottom w:val="single" w:color="auto" w:sz="4" w:space="0"/>
              <w:right w:val="single" w:color="auto" w:sz="4" w:space="0"/>
            </w:tcBorders>
          </w:tcPr>
          <w:p w14:paraId="5096B8F6">
            <w:pPr>
              <w:jc w:val="center"/>
              <w:rPr>
                <w:rFonts w:ascii="宋体" w:hAnsi="宋体" w:cs="宋体"/>
                <w:bCs/>
                <w:szCs w:val="21"/>
              </w:rPr>
            </w:pPr>
          </w:p>
        </w:tc>
        <w:tc>
          <w:tcPr>
            <w:tcW w:w="1818" w:type="dxa"/>
            <w:tcBorders>
              <w:top w:val="single" w:color="auto" w:sz="4" w:space="0"/>
              <w:left w:val="single" w:color="auto" w:sz="4" w:space="0"/>
              <w:bottom w:val="single" w:color="auto" w:sz="4" w:space="0"/>
              <w:right w:val="single" w:color="auto" w:sz="4" w:space="0"/>
            </w:tcBorders>
            <w:vAlign w:val="center"/>
          </w:tcPr>
          <w:p w14:paraId="31784F0E">
            <w:pPr>
              <w:jc w:val="center"/>
              <w:rPr>
                <w:rFonts w:ascii="宋体" w:hAnsi="宋体" w:cs="宋体"/>
                <w:bCs/>
                <w:szCs w:val="21"/>
              </w:rPr>
            </w:pPr>
          </w:p>
        </w:tc>
      </w:tr>
      <w:tr w14:paraId="4E8F8B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63" w:type="dxa"/>
            <w:tcBorders>
              <w:top w:val="single" w:color="auto" w:sz="4" w:space="0"/>
              <w:left w:val="single" w:color="auto" w:sz="4" w:space="0"/>
              <w:bottom w:val="single" w:color="auto" w:sz="4" w:space="0"/>
              <w:right w:val="single" w:color="auto" w:sz="4" w:space="0"/>
            </w:tcBorders>
            <w:vAlign w:val="center"/>
          </w:tcPr>
          <w:p w14:paraId="5AC9CE0B">
            <w:pPr>
              <w:jc w:val="center"/>
              <w:rPr>
                <w:rFonts w:ascii="宋体" w:hAnsi="宋体" w:cs="宋体"/>
                <w:bCs/>
                <w:color w:val="FF0000"/>
                <w:szCs w:val="21"/>
              </w:rPr>
            </w:pPr>
            <w:r>
              <w:rPr>
                <w:rFonts w:hint="eastAsia" w:ascii="宋体" w:hAnsi="宋体" w:cs="宋体"/>
                <w:bCs/>
                <w:color w:val="auto"/>
                <w:szCs w:val="21"/>
              </w:rPr>
              <w:t>11</w:t>
            </w:r>
          </w:p>
        </w:tc>
        <w:tc>
          <w:tcPr>
            <w:tcW w:w="1785" w:type="dxa"/>
            <w:tcBorders>
              <w:top w:val="single" w:color="auto" w:sz="4" w:space="0"/>
              <w:left w:val="single" w:color="auto" w:sz="4" w:space="0"/>
              <w:bottom w:val="single" w:color="auto" w:sz="4" w:space="0"/>
              <w:right w:val="single" w:color="auto" w:sz="4" w:space="0"/>
            </w:tcBorders>
            <w:vAlign w:val="center"/>
          </w:tcPr>
          <w:p w14:paraId="400F517F">
            <w:pPr>
              <w:tabs>
                <w:tab w:val="left" w:pos="4102"/>
                <w:tab w:val="right" w:pos="4402"/>
              </w:tabs>
              <w:rPr>
                <w:rFonts w:ascii="宋体" w:hAnsi="宋体" w:cs="宋体"/>
                <w:color w:val="FF0000"/>
                <w:szCs w:val="21"/>
              </w:rPr>
            </w:pPr>
          </w:p>
        </w:tc>
        <w:tc>
          <w:tcPr>
            <w:tcW w:w="1060" w:type="dxa"/>
            <w:tcBorders>
              <w:top w:val="single" w:color="auto" w:sz="4" w:space="0"/>
              <w:left w:val="single" w:color="auto" w:sz="4" w:space="0"/>
              <w:bottom w:val="single" w:color="auto" w:sz="4" w:space="0"/>
              <w:right w:val="single" w:color="auto" w:sz="4" w:space="0"/>
            </w:tcBorders>
            <w:vAlign w:val="center"/>
          </w:tcPr>
          <w:p w14:paraId="24E432BA">
            <w:pPr>
              <w:tabs>
                <w:tab w:val="left" w:pos="4102"/>
                <w:tab w:val="right" w:pos="4402"/>
              </w:tabs>
              <w:jc w:val="center"/>
              <w:rPr>
                <w:rFonts w:ascii="宋体" w:hAnsi="宋体" w:cs="宋体"/>
                <w:color w:val="FF0000"/>
                <w:szCs w:val="21"/>
              </w:rPr>
            </w:pPr>
          </w:p>
        </w:tc>
        <w:tc>
          <w:tcPr>
            <w:tcW w:w="1706" w:type="dxa"/>
            <w:tcBorders>
              <w:top w:val="single" w:color="auto" w:sz="4" w:space="0"/>
              <w:left w:val="single" w:color="auto" w:sz="4" w:space="0"/>
              <w:bottom w:val="single" w:color="auto" w:sz="4" w:space="0"/>
              <w:right w:val="single" w:color="auto" w:sz="4" w:space="0"/>
            </w:tcBorders>
            <w:vAlign w:val="center"/>
          </w:tcPr>
          <w:p w14:paraId="517DDB0B">
            <w:pPr>
              <w:tabs>
                <w:tab w:val="left" w:pos="4102"/>
                <w:tab w:val="right" w:pos="4402"/>
              </w:tabs>
              <w:jc w:val="center"/>
              <w:rPr>
                <w:rFonts w:ascii="宋体" w:hAnsi="宋体" w:cs="宋体"/>
                <w:color w:val="FF0000"/>
                <w:szCs w:val="21"/>
              </w:rPr>
            </w:pPr>
          </w:p>
        </w:tc>
        <w:tc>
          <w:tcPr>
            <w:tcW w:w="1364" w:type="dxa"/>
            <w:tcBorders>
              <w:top w:val="single" w:color="auto" w:sz="4" w:space="0"/>
              <w:left w:val="single" w:color="auto" w:sz="4" w:space="0"/>
              <w:bottom w:val="single" w:color="auto" w:sz="4" w:space="0"/>
              <w:right w:val="single" w:color="auto" w:sz="4" w:space="0"/>
            </w:tcBorders>
          </w:tcPr>
          <w:p w14:paraId="6E733B06">
            <w:pPr>
              <w:jc w:val="center"/>
              <w:rPr>
                <w:rFonts w:ascii="宋体" w:hAnsi="宋体" w:cs="宋体"/>
                <w:bCs/>
                <w:color w:val="FF0000"/>
                <w:szCs w:val="21"/>
              </w:rPr>
            </w:pPr>
          </w:p>
        </w:tc>
        <w:tc>
          <w:tcPr>
            <w:tcW w:w="1818" w:type="dxa"/>
            <w:tcBorders>
              <w:top w:val="single" w:color="auto" w:sz="4" w:space="0"/>
              <w:left w:val="single" w:color="auto" w:sz="4" w:space="0"/>
              <w:bottom w:val="single" w:color="auto" w:sz="4" w:space="0"/>
              <w:right w:val="single" w:color="auto" w:sz="4" w:space="0"/>
            </w:tcBorders>
            <w:vAlign w:val="center"/>
          </w:tcPr>
          <w:p w14:paraId="70BA3CE5">
            <w:pPr>
              <w:jc w:val="center"/>
              <w:rPr>
                <w:rFonts w:ascii="宋体" w:hAnsi="宋体" w:cs="宋体"/>
                <w:bCs/>
                <w:color w:val="FF0000"/>
                <w:szCs w:val="21"/>
              </w:rPr>
            </w:pPr>
          </w:p>
        </w:tc>
      </w:tr>
      <w:tr w14:paraId="63D009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63" w:type="dxa"/>
            <w:tcBorders>
              <w:top w:val="single" w:color="auto" w:sz="4" w:space="0"/>
              <w:left w:val="single" w:color="auto" w:sz="4" w:space="0"/>
              <w:bottom w:val="single" w:color="auto" w:sz="4" w:space="0"/>
              <w:right w:val="single" w:color="auto" w:sz="4" w:space="0"/>
            </w:tcBorders>
            <w:vAlign w:val="center"/>
          </w:tcPr>
          <w:p w14:paraId="7891FF81">
            <w:pPr>
              <w:jc w:val="center"/>
              <w:rPr>
                <w:rFonts w:ascii="宋体" w:hAnsi="宋体" w:cs="宋体"/>
                <w:bCs/>
                <w:szCs w:val="21"/>
              </w:rPr>
            </w:pPr>
            <w:r>
              <w:rPr>
                <w:rFonts w:hint="eastAsia" w:ascii="宋体" w:hAnsi="宋体" w:cs="宋体"/>
                <w:bCs/>
                <w:szCs w:val="21"/>
              </w:rPr>
              <w:t>12</w:t>
            </w:r>
          </w:p>
        </w:tc>
        <w:tc>
          <w:tcPr>
            <w:tcW w:w="1785" w:type="dxa"/>
            <w:tcBorders>
              <w:top w:val="single" w:color="auto" w:sz="4" w:space="0"/>
              <w:left w:val="single" w:color="auto" w:sz="4" w:space="0"/>
              <w:bottom w:val="single" w:color="auto" w:sz="4" w:space="0"/>
              <w:right w:val="single" w:color="auto" w:sz="4" w:space="0"/>
            </w:tcBorders>
            <w:vAlign w:val="center"/>
          </w:tcPr>
          <w:p w14:paraId="3FA2D4D6">
            <w:pPr>
              <w:rPr>
                <w:rFonts w:ascii="宋体" w:hAnsi="宋体" w:cs="宋体"/>
                <w:bCs/>
                <w:szCs w:val="21"/>
              </w:rPr>
            </w:pPr>
          </w:p>
        </w:tc>
        <w:tc>
          <w:tcPr>
            <w:tcW w:w="1060" w:type="dxa"/>
            <w:tcBorders>
              <w:top w:val="single" w:color="auto" w:sz="4" w:space="0"/>
              <w:left w:val="single" w:color="auto" w:sz="4" w:space="0"/>
              <w:bottom w:val="single" w:color="auto" w:sz="4" w:space="0"/>
              <w:right w:val="single" w:color="auto" w:sz="4" w:space="0"/>
            </w:tcBorders>
            <w:vAlign w:val="center"/>
          </w:tcPr>
          <w:p w14:paraId="5924A382">
            <w:pPr>
              <w:ind w:right="15" w:rightChars="7"/>
              <w:rPr>
                <w:rFonts w:ascii="宋体" w:hAnsi="宋体" w:cs="宋体"/>
                <w:szCs w:val="21"/>
              </w:rPr>
            </w:pPr>
          </w:p>
        </w:tc>
        <w:tc>
          <w:tcPr>
            <w:tcW w:w="1706" w:type="dxa"/>
            <w:tcBorders>
              <w:top w:val="single" w:color="auto" w:sz="4" w:space="0"/>
              <w:left w:val="single" w:color="auto" w:sz="4" w:space="0"/>
              <w:bottom w:val="single" w:color="auto" w:sz="4" w:space="0"/>
              <w:right w:val="single" w:color="auto" w:sz="4" w:space="0"/>
            </w:tcBorders>
            <w:vAlign w:val="center"/>
          </w:tcPr>
          <w:p w14:paraId="7F789DE9">
            <w:pPr>
              <w:tabs>
                <w:tab w:val="left" w:pos="4102"/>
                <w:tab w:val="right" w:pos="4402"/>
              </w:tabs>
              <w:jc w:val="center"/>
              <w:rPr>
                <w:rFonts w:ascii="宋体" w:hAnsi="宋体" w:cs="宋体"/>
                <w:szCs w:val="21"/>
              </w:rPr>
            </w:pPr>
          </w:p>
        </w:tc>
        <w:tc>
          <w:tcPr>
            <w:tcW w:w="1364" w:type="dxa"/>
            <w:tcBorders>
              <w:top w:val="single" w:color="auto" w:sz="4" w:space="0"/>
              <w:left w:val="single" w:color="auto" w:sz="4" w:space="0"/>
              <w:bottom w:val="single" w:color="auto" w:sz="4" w:space="0"/>
              <w:right w:val="single" w:color="auto" w:sz="4" w:space="0"/>
            </w:tcBorders>
          </w:tcPr>
          <w:p w14:paraId="26C14D0A">
            <w:pPr>
              <w:jc w:val="center"/>
              <w:rPr>
                <w:rFonts w:ascii="宋体" w:hAnsi="宋体" w:cs="宋体"/>
                <w:bCs/>
                <w:szCs w:val="21"/>
              </w:rPr>
            </w:pPr>
          </w:p>
        </w:tc>
        <w:tc>
          <w:tcPr>
            <w:tcW w:w="1818" w:type="dxa"/>
            <w:tcBorders>
              <w:top w:val="single" w:color="auto" w:sz="4" w:space="0"/>
              <w:left w:val="single" w:color="auto" w:sz="4" w:space="0"/>
              <w:bottom w:val="single" w:color="auto" w:sz="4" w:space="0"/>
              <w:right w:val="single" w:color="auto" w:sz="4" w:space="0"/>
            </w:tcBorders>
            <w:vAlign w:val="center"/>
          </w:tcPr>
          <w:p w14:paraId="0851FAF2">
            <w:pPr>
              <w:jc w:val="center"/>
              <w:rPr>
                <w:rFonts w:ascii="宋体" w:hAnsi="宋体" w:cs="宋体"/>
                <w:bCs/>
                <w:szCs w:val="21"/>
              </w:rPr>
            </w:pPr>
          </w:p>
        </w:tc>
      </w:tr>
      <w:tr w14:paraId="48FE81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63" w:type="dxa"/>
            <w:tcBorders>
              <w:top w:val="single" w:color="auto" w:sz="4" w:space="0"/>
              <w:left w:val="single" w:color="auto" w:sz="4" w:space="0"/>
              <w:bottom w:val="single" w:color="auto" w:sz="4" w:space="0"/>
              <w:right w:val="single" w:color="auto" w:sz="4" w:space="0"/>
            </w:tcBorders>
            <w:vAlign w:val="center"/>
          </w:tcPr>
          <w:p w14:paraId="5A998D94">
            <w:pPr>
              <w:jc w:val="center"/>
              <w:rPr>
                <w:rFonts w:ascii="宋体" w:hAnsi="宋体" w:cs="宋体"/>
                <w:bCs/>
                <w:szCs w:val="21"/>
              </w:rPr>
            </w:pPr>
            <w:r>
              <w:rPr>
                <w:rFonts w:hint="eastAsia" w:ascii="宋体" w:hAnsi="宋体" w:cs="宋体"/>
                <w:bCs/>
                <w:szCs w:val="21"/>
              </w:rPr>
              <w:t>13</w:t>
            </w:r>
          </w:p>
        </w:tc>
        <w:tc>
          <w:tcPr>
            <w:tcW w:w="1785" w:type="dxa"/>
            <w:tcBorders>
              <w:top w:val="single" w:color="auto" w:sz="4" w:space="0"/>
              <w:left w:val="single" w:color="auto" w:sz="4" w:space="0"/>
              <w:bottom w:val="single" w:color="auto" w:sz="4" w:space="0"/>
              <w:right w:val="single" w:color="auto" w:sz="4" w:space="0"/>
            </w:tcBorders>
            <w:vAlign w:val="center"/>
          </w:tcPr>
          <w:p w14:paraId="0FD2A318">
            <w:pPr>
              <w:ind w:right="15" w:rightChars="7"/>
              <w:rPr>
                <w:rFonts w:ascii="宋体" w:hAnsi="宋体" w:cs="宋体"/>
                <w:szCs w:val="21"/>
              </w:rPr>
            </w:pPr>
            <w:r>
              <w:rPr>
                <w:rFonts w:hint="eastAsia" w:ascii="宋体" w:hAnsi="宋体" w:cs="宋体"/>
                <w:szCs w:val="21"/>
              </w:rPr>
              <w:t>听针</w:t>
            </w:r>
          </w:p>
        </w:tc>
        <w:tc>
          <w:tcPr>
            <w:tcW w:w="1060" w:type="dxa"/>
            <w:tcBorders>
              <w:top w:val="single" w:color="auto" w:sz="4" w:space="0"/>
              <w:left w:val="single" w:color="auto" w:sz="4" w:space="0"/>
              <w:bottom w:val="single" w:color="auto" w:sz="4" w:space="0"/>
              <w:right w:val="single" w:color="auto" w:sz="4" w:space="0"/>
            </w:tcBorders>
            <w:vAlign w:val="center"/>
          </w:tcPr>
          <w:p w14:paraId="2D520282">
            <w:pPr>
              <w:ind w:right="15" w:rightChars="7"/>
              <w:rPr>
                <w:rFonts w:ascii="宋体" w:hAnsi="宋体" w:cs="宋体"/>
                <w:szCs w:val="21"/>
              </w:rPr>
            </w:pPr>
          </w:p>
        </w:tc>
        <w:tc>
          <w:tcPr>
            <w:tcW w:w="1706" w:type="dxa"/>
            <w:tcBorders>
              <w:top w:val="single" w:color="auto" w:sz="4" w:space="0"/>
              <w:left w:val="single" w:color="auto" w:sz="4" w:space="0"/>
              <w:bottom w:val="single" w:color="auto" w:sz="4" w:space="0"/>
              <w:right w:val="single" w:color="auto" w:sz="4" w:space="0"/>
            </w:tcBorders>
            <w:vAlign w:val="center"/>
          </w:tcPr>
          <w:p w14:paraId="5EF260E8">
            <w:pPr>
              <w:tabs>
                <w:tab w:val="left" w:pos="4102"/>
                <w:tab w:val="right" w:pos="4402"/>
              </w:tabs>
              <w:jc w:val="center"/>
              <w:rPr>
                <w:rFonts w:ascii="宋体" w:hAnsi="宋体" w:cs="宋体"/>
                <w:szCs w:val="21"/>
              </w:rPr>
            </w:pPr>
            <w:r>
              <w:rPr>
                <w:rFonts w:hint="eastAsia" w:ascii="宋体" w:hAnsi="宋体" w:cs="宋体"/>
                <w:szCs w:val="21"/>
                <w:lang w:val="en-US" w:eastAsia="zh-CN"/>
              </w:rPr>
              <w:t>2</w:t>
            </w:r>
            <w:r>
              <w:rPr>
                <w:rFonts w:hint="eastAsia" w:ascii="宋体" w:hAnsi="宋体" w:cs="宋体"/>
                <w:szCs w:val="21"/>
              </w:rPr>
              <w:t>根</w:t>
            </w:r>
          </w:p>
        </w:tc>
        <w:tc>
          <w:tcPr>
            <w:tcW w:w="1364" w:type="dxa"/>
            <w:tcBorders>
              <w:top w:val="single" w:color="auto" w:sz="4" w:space="0"/>
              <w:left w:val="single" w:color="auto" w:sz="4" w:space="0"/>
              <w:bottom w:val="single" w:color="auto" w:sz="4" w:space="0"/>
              <w:right w:val="single" w:color="auto" w:sz="4" w:space="0"/>
            </w:tcBorders>
          </w:tcPr>
          <w:p w14:paraId="6F2E5472">
            <w:pPr>
              <w:jc w:val="center"/>
              <w:rPr>
                <w:rFonts w:ascii="宋体" w:hAnsi="宋体" w:cs="宋体"/>
                <w:bCs/>
                <w:szCs w:val="21"/>
              </w:rPr>
            </w:pPr>
          </w:p>
        </w:tc>
        <w:tc>
          <w:tcPr>
            <w:tcW w:w="1818" w:type="dxa"/>
            <w:tcBorders>
              <w:top w:val="single" w:color="auto" w:sz="4" w:space="0"/>
              <w:left w:val="single" w:color="auto" w:sz="4" w:space="0"/>
              <w:bottom w:val="single" w:color="auto" w:sz="4" w:space="0"/>
              <w:right w:val="single" w:color="auto" w:sz="4" w:space="0"/>
            </w:tcBorders>
            <w:vAlign w:val="center"/>
          </w:tcPr>
          <w:p w14:paraId="26C9443A">
            <w:pPr>
              <w:jc w:val="center"/>
              <w:rPr>
                <w:rFonts w:ascii="宋体" w:hAnsi="宋体" w:cs="宋体"/>
                <w:bCs/>
                <w:szCs w:val="21"/>
              </w:rPr>
            </w:pPr>
          </w:p>
        </w:tc>
      </w:tr>
      <w:tr w14:paraId="379226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63" w:type="dxa"/>
            <w:tcBorders>
              <w:top w:val="single" w:color="auto" w:sz="4" w:space="0"/>
              <w:left w:val="single" w:color="auto" w:sz="4" w:space="0"/>
              <w:bottom w:val="single" w:color="auto" w:sz="4" w:space="0"/>
              <w:right w:val="single" w:color="auto" w:sz="4" w:space="0"/>
            </w:tcBorders>
            <w:vAlign w:val="center"/>
          </w:tcPr>
          <w:p w14:paraId="3C8275F4">
            <w:pPr>
              <w:jc w:val="center"/>
              <w:rPr>
                <w:rFonts w:ascii="宋体" w:hAnsi="宋体" w:cs="宋体"/>
                <w:bCs/>
                <w:szCs w:val="21"/>
              </w:rPr>
            </w:pPr>
            <w:r>
              <w:rPr>
                <w:rFonts w:hint="eastAsia" w:ascii="宋体" w:hAnsi="宋体" w:cs="宋体"/>
                <w:bCs/>
                <w:szCs w:val="21"/>
              </w:rPr>
              <w:t>14</w:t>
            </w:r>
          </w:p>
        </w:tc>
        <w:tc>
          <w:tcPr>
            <w:tcW w:w="1785" w:type="dxa"/>
            <w:tcBorders>
              <w:top w:val="single" w:color="auto" w:sz="4" w:space="0"/>
              <w:left w:val="single" w:color="auto" w:sz="4" w:space="0"/>
              <w:bottom w:val="single" w:color="auto" w:sz="4" w:space="0"/>
              <w:right w:val="single" w:color="auto" w:sz="4" w:space="0"/>
            </w:tcBorders>
            <w:vAlign w:val="center"/>
          </w:tcPr>
          <w:p w14:paraId="70BE99BC">
            <w:pPr>
              <w:ind w:right="15" w:rightChars="7"/>
              <w:rPr>
                <w:rFonts w:ascii="宋体" w:hAnsi="宋体" w:cs="宋体"/>
                <w:szCs w:val="21"/>
              </w:rPr>
            </w:pPr>
            <w:r>
              <w:rPr>
                <w:rFonts w:hint="eastAsia" w:ascii="宋体" w:hAnsi="宋体" w:cs="宋体"/>
                <w:szCs w:val="21"/>
              </w:rPr>
              <w:t>液压千斤顶</w:t>
            </w:r>
          </w:p>
        </w:tc>
        <w:tc>
          <w:tcPr>
            <w:tcW w:w="1060" w:type="dxa"/>
            <w:tcBorders>
              <w:top w:val="single" w:color="auto" w:sz="4" w:space="0"/>
              <w:left w:val="single" w:color="auto" w:sz="4" w:space="0"/>
              <w:bottom w:val="single" w:color="auto" w:sz="4" w:space="0"/>
              <w:right w:val="single" w:color="auto" w:sz="4" w:space="0"/>
            </w:tcBorders>
            <w:vAlign w:val="center"/>
          </w:tcPr>
          <w:p w14:paraId="10110FAA">
            <w:pPr>
              <w:tabs>
                <w:tab w:val="left" w:pos="4102"/>
                <w:tab w:val="right" w:pos="4402"/>
              </w:tabs>
              <w:jc w:val="center"/>
              <w:rPr>
                <w:rFonts w:ascii="宋体" w:hAnsi="宋体" w:cs="宋体"/>
                <w:szCs w:val="21"/>
              </w:rPr>
            </w:pPr>
          </w:p>
        </w:tc>
        <w:tc>
          <w:tcPr>
            <w:tcW w:w="1706" w:type="dxa"/>
            <w:tcBorders>
              <w:top w:val="single" w:color="auto" w:sz="4" w:space="0"/>
              <w:left w:val="single" w:color="auto" w:sz="4" w:space="0"/>
              <w:bottom w:val="single" w:color="auto" w:sz="4" w:space="0"/>
              <w:right w:val="single" w:color="auto" w:sz="4" w:space="0"/>
            </w:tcBorders>
            <w:vAlign w:val="center"/>
          </w:tcPr>
          <w:p w14:paraId="205123BD">
            <w:pPr>
              <w:tabs>
                <w:tab w:val="left" w:pos="4102"/>
                <w:tab w:val="right" w:pos="4402"/>
              </w:tabs>
              <w:jc w:val="center"/>
              <w:rPr>
                <w:rFonts w:ascii="宋体" w:hAnsi="宋体" w:cs="宋体"/>
                <w:szCs w:val="21"/>
              </w:rPr>
            </w:pPr>
            <w:r>
              <w:rPr>
                <w:rFonts w:hint="eastAsia" w:ascii="宋体" w:hAnsi="宋体" w:cs="宋体"/>
                <w:szCs w:val="21"/>
              </w:rPr>
              <w:t>2套</w:t>
            </w:r>
          </w:p>
        </w:tc>
        <w:tc>
          <w:tcPr>
            <w:tcW w:w="1364" w:type="dxa"/>
            <w:tcBorders>
              <w:top w:val="single" w:color="auto" w:sz="4" w:space="0"/>
              <w:left w:val="single" w:color="auto" w:sz="4" w:space="0"/>
              <w:bottom w:val="single" w:color="auto" w:sz="4" w:space="0"/>
              <w:right w:val="single" w:color="auto" w:sz="4" w:space="0"/>
            </w:tcBorders>
          </w:tcPr>
          <w:p w14:paraId="641F5E02">
            <w:pPr>
              <w:jc w:val="center"/>
              <w:rPr>
                <w:rFonts w:ascii="宋体" w:hAnsi="宋体" w:cs="宋体"/>
                <w:bCs/>
                <w:szCs w:val="21"/>
              </w:rPr>
            </w:pPr>
          </w:p>
        </w:tc>
        <w:tc>
          <w:tcPr>
            <w:tcW w:w="1818" w:type="dxa"/>
            <w:tcBorders>
              <w:top w:val="single" w:color="auto" w:sz="4" w:space="0"/>
              <w:left w:val="single" w:color="auto" w:sz="4" w:space="0"/>
              <w:bottom w:val="single" w:color="auto" w:sz="4" w:space="0"/>
              <w:right w:val="single" w:color="auto" w:sz="4" w:space="0"/>
            </w:tcBorders>
            <w:vAlign w:val="center"/>
          </w:tcPr>
          <w:p w14:paraId="365A25F4">
            <w:pPr>
              <w:jc w:val="center"/>
              <w:rPr>
                <w:rFonts w:ascii="宋体" w:hAnsi="宋体" w:cs="宋体"/>
                <w:bCs/>
                <w:szCs w:val="21"/>
              </w:rPr>
            </w:pPr>
          </w:p>
        </w:tc>
      </w:tr>
      <w:tr w14:paraId="524836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63" w:type="dxa"/>
            <w:tcBorders>
              <w:top w:val="single" w:color="auto" w:sz="4" w:space="0"/>
              <w:left w:val="single" w:color="auto" w:sz="4" w:space="0"/>
              <w:bottom w:val="single" w:color="auto" w:sz="4" w:space="0"/>
              <w:right w:val="single" w:color="auto" w:sz="4" w:space="0"/>
            </w:tcBorders>
            <w:vAlign w:val="center"/>
          </w:tcPr>
          <w:p w14:paraId="5E9202AA">
            <w:pPr>
              <w:jc w:val="center"/>
              <w:rPr>
                <w:rFonts w:ascii="宋体" w:hAnsi="宋体" w:cs="宋体"/>
                <w:bCs/>
                <w:szCs w:val="21"/>
              </w:rPr>
            </w:pPr>
            <w:r>
              <w:rPr>
                <w:rFonts w:hint="eastAsia" w:ascii="宋体" w:hAnsi="宋体" w:cs="宋体"/>
                <w:bCs/>
                <w:szCs w:val="21"/>
              </w:rPr>
              <w:t>15</w:t>
            </w:r>
          </w:p>
        </w:tc>
        <w:tc>
          <w:tcPr>
            <w:tcW w:w="1785" w:type="dxa"/>
            <w:tcBorders>
              <w:top w:val="single" w:color="auto" w:sz="4" w:space="0"/>
              <w:left w:val="single" w:color="auto" w:sz="4" w:space="0"/>
              <w:bottom w:val="single" w:color="auto" w:sz="4" w:space="0"/>
              <w:right w:val="single" w:color="auto" w:sz="4" w:space="0"/>
            </w:tcBorders>
            <w:vAlign w:val="center"/>
          </w:tcPr>
          <w:p w14:paraId="2640B05E">
            <w:pPr>
              <w:tabs>
                <w:tab w:val="left" w:pos="4102"/>
                <w:tab w:val="right" w:pos="4402"/>
              </w:tabs>
              <w:rPr>
                <w:rFonts w:ascii="宋体" w:hAnsi="宋体" w:cs="宋体"/>
                <w:szCs w:val="21"/>
              </w:rPr>
            </w:pPr>
            <w:r>
              <w:rPr>
                <w:rFonts w:hint="eastAsia" w:ascii="宋体" w:hAnsi="宋体" w:cs="宋体"/>
                <w:szCs w:val="21"/>
              </w:rPr>
              <w:t>重型敲击扳手</w:t>
            </w:r>
          </w:p>
        </w:tc>
        <w:tc>
          <w:tcPr>
            <w:tcW w:w="1060" w:type="dxa"/>
            <w:tcBorders>
              <w:top w:val="single" w:color="auto" w:sz="4" w:space="0"/>
              <w:left w:val="single" w:color="auto" w:sz="4" w:space="0"/>
              <w:bottom w:val="single" w:color="auto" w:sz="4" w:space="0"/>
              <w:right w:val="single" w:color="auto" w:sz="4" w:space="0"/>
            </w:tcBorders>
            <w:vAlign w:val="center"/>
          </w:tcPr>
          <w:p w14:paraId="68DACC62">
            <w:pPr>
              <w:tabs>
                <w:tab w:val="left" w:pos="4102"/>
                <w:tab w:val="right" w:pos="4402"/>
              </w:tabs>
              <w:jc w:val="center"/>
              <w:rPr>
                <w:rFonts w:ascii="宋体" w:hAnsi="宋体" w:cs="宋体"/>
                <w:szCs w:val="21"/>
              </w:rPr>
            </w:pPr>
          </w:p>
        </w:tc>
        <w:tc>
          <w:tcPr>
            <w:tcW w:w="1706" w:type="dxa"/>
            <w:tcBorders>
              <w:top w:val="single" w:color="auto" w:sz="4" w:space="0"/>
              <w:left w:val="single" w:color="auto" w:sz="4" w:space="0"/>
              <w:bottom w:val="single" w:color="auto" w:sz="4" w:space="0"/>
              <w:right w:val="single" w:color="auto" w:sz="4" w:space="0"/>
            </w:tcBorders>
            <w:vAlign w:val="center"/>
          </w:tcPr>
          <w:p w14:paraId="022DFC98">
            <w:pPr>
              <w:tabs>
                <w:tab w:val="left" w:pos="4102"/>
                <w:tab w:val="right" w:pos="4402"/>
              </w:tabs>
              <w:jc w:val="center"/>
              <w:rPr>
                <w:rFonts w:ascii="宋体" w:hAnsi="宋体" w:cs="宋体"/>
                <w:szCs w:val="21"/>
              </w:rPr>
            </w:pPr>
            <w:r>
              <w:rPr>
                <w:rFonts w:hint="eastAsia" w:ascii="宋体" w:hAnsi="宋体" w:cs="宋体"/>
                <w:szCs w:val="21"/>
              </w:rPr>
              <w:t>2套</w:t>
            </w:r>
          </w:p>
        </w:tc>
        <w:tc>
          <w:tcPr>
            <w:tcW w:w="1364" w:type="dxa"/>
            <w:tcBorders>
              <w:top w:val="single" w:color="auto" w:sz="4" w:space="0"/>
              <w:left w:val="single" w:color="auto" w:sz="4" w:space="0"/>
              <w:bottom w:val="single" w:color="auto" w:sz="4" w:space="0"/>
              <w:right w:val="single" w:color="auto" w:sz="4" w:space="0"/>
            </w:tcBorders>
          </w:tcPr>
          <w:p w14:paraId="27CF75D7">
            <w:pPr>
              <w:jc w:val="center"/>
              <w:rPr>
                <w:rFonts w:ascii="宋体" w:hAnsi="宋体" w:cs="宋体"/>
                <w:bCs/>
                <w:szCs w:val="21"/>
              </w:rPr>
            </w:pPr>
          </w:p>
        </w:tc>
        <w:tc>
          <w:tcPr>
            <w:tcW w:w="1818" w:type="dxa"/>
            <w:tcBorders>
              <w:top w:val="single" w:color="auto" w:sz="4" w:space="0"/>
              <w:left w:val="single" w:color="auto" w:sz="4" w:space="0"/>
              <w:bottom w:val="single" w:color="auto" w:sz="4" w:space="0"/>
              <w:right w:val="single" w:color="auto" w:sz="4" w:space="0"/>
            </w:tcBorders>
            <w:vAlign w:val="center"/>
          </w:tcPr>
          <w:p w14:paraId="30F46325">
            <w:pPr>
              <w:jc w:val="center"/>
              <w:rPr>
                <w:rFonts w:ascii="宋体" w:hAnsi="宋体" w:cs="宋体"/>
                <w:bCs/>
                <w:szCs w:val="21"/>
              </w:rPr>
            </w:pPr>
          </w:p>
        </w:tc>
      </w:tr>
      <w:tr w14:paraId="2630A3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63" w:type="dxa"/>
            <w:tcBorders>
              <w:top w:val="single" w:color="auto" w:sz="4" w:space="0"/>
              <w:left w:val="single" w:color="auto" w:sz="4" w:space="0"/>
              <w:bottom w:val="single" w:color="auto" w:sz="4" w:space="0"/>
              <w:right w:val="single" w:color="auto" w:sz="4" w:space="0"/>
            </w:tcBorders>
            <w:vAlign w:val="center"/>
          </w:tcPr>
          <w:p w14:paraId="3DC6D445">
            <w:pPr>
              <w:jc w:val="center"/>
              <w:rPr>
                <w:rFonts w:ascii="宋体" w:hAnsi="宋体" w:cs="宋体"/>
                <w:bCs/>
                <w:szCs w:val="21"/>
              </w:rPr>
            </w:pPr>
            <w:r>
              <w:rPr>
                <w:rFonts w:hint="eastAsia" w:ascii="宋体" w:hAnsi="宋体" w:cs="宋体"/>
                <w:bCs/>
                <w:szCs w:val="21"/>
              </w:rPr>
              <w:t>16</w:t>
            </w:r>
          </w:p>
        </w:tc>
        <w:tc>
          <w:tcPr>
            <w:tcW w:w="1785" w:type="dxa"/>
            <w:tcBorders>
              <w:top w:val="single" w:color="auto" w:sz="4" w:space="0"/>
              <w:left w:val="single" w:color="auto" w:sz="4" w:space="0"/>
              <w:bottom w:val="single" w:color="auto" w:sz="4" w:space="0"/>
              <w:right w:val="single" w:color="auto" w:sz="4" w:space="0"/>
            </w:tcBorders>
            <w:vAlign w:val="center"/>
          </w:tcPr>
          <w:p w14:paraId="4CF428C9">
            <w:pPr>
              <w:ind w:right="15" w:rightChars="7"/>
              <w:rPr>
                <w:rFonts w:ascii="宋体" w:hAnsi="宋体" w:cs="宋体"/>
                <w:szCs w:val="21"/>
              </w:rPr>
            </w:pPr>
            <w:r>
              <w:rPr>
                <w:rFonts w:hint="eastAsia" w:ascii="宋体" w:hAnsi="宋体" w:cs="宋体"/>
                <w:szCs w:val="21"/>
              </w:rPr>
              <w:t>液压扳手</w:t>
            </w:r>
          </w:p>
        </w:tc>
        <w:tc>
          <w:tcPr>
            <w:tcW w:w="1060" w:type="dxa"/>
            <w:tcBorders>
              <w:top w:val="single" w:color="auto" w:sz="4" w:space="0"/>
              <w:left w:val="single" w:color="auto" w:sz="4" w:space="0"/>
              <w:bottom w:val="single" w:color="auto" w:sz="4" w:space="0"/>
              <w:right w:val="single" w:color="auto" w:sz="4" w:space="0"/>
            </w:tcBorders>
            <w:vAlign w:val="center"/>
          </w:tcPr>
          <w:p w14:paraId="545DF534">
            <w:pPr>
              <w:tabs>
                <w:tab w:val="left" w:pos="4102"/>
                <w:tab w:val="right" w:pos="4402"/>
              </w:tabs>
              <w:jc w:val="center"/>
              <w:rPr>
                <w:rFonts w:ascii="宋体" w:hAnsi="宋体" w:cs="宋体"/>
                <w:szCs w:val="21"/>
              </w:rPr>
            </w:pPr>
          </w:p>
        </w:tc>
        <w:tc>
          <w:tcPr>
            <w:tcW w:w="1706" w:type="dxa"/>
            <w:tcBorders>
              <w:top w:val="single" w:color="auto" w:sz="4" w:space="0"/>
              <w:left w:val="single" w:color="auto" w:sz="4" w:space="0"/>
              <w:bottom w:val="single" w:color="auto" w:sz="4" w:space="0"/>
              <w:right w:val="single" w:color="auto" w:sz="4" w:space="0"/>
            </w:tcBorders>
            <w:vAlign w:val="center"/>
          </w:tcPr>
          <w:p w14:paraId="2DD966CC">
            <w:pPr>
              <w:ind w:right="15" w:rightChars="7"/>
              <w:jc w:val="center"/>
              <w:rPr>
                <w:rFonts w:ascii="宋体" w:hAnsi="宋体" w:cs="宋体"/>
                <w:szCs w:val="21"/>
              </w:rPr>
            </w:pPr>
            <w:r>
              <w:rPr>
                <w:rFonts w:hint="eastAsia" w:ascii="宋体" w:hAnsi="宋体" w:cs="宋体"/>
                <w:szCs w:val="21"/>
              </w:rPr>
              <w:t>1套</w:t>
            </w:r>
          </w:p>
        </w:tc>
        <w:tc>
          <w:tcPr>
            <w:tcW w:w="1364" w:type="dxa"/>
            <w:tcBorders>
              <w:top w:val="single" w:color="auto" w:sz="4" w:space="0"/>
              <w:left w:val="single" w:color="auto" w:sz="4" w:space="0"/>
              <w:bottom w:val="single" w:color="auto" w:sz="4" w:space="0"/>
              <w:right w:val="single" w:color="auto" w:sz="4" w:space="0"/>
            </w:tcBorders>
          </w:tcPr>
          <w:p w14:paraId="7E378FCC">
            <w:pPr>
              <w:jc w:val="center"/>
              <w:rPr>
                <w:rFonts w:ascii="宋体" w:hAnsi="宋体" w:cs="宋体"/>
                <w:bCs/>
                <w:szCs w:val="21"/>
              </w:rPr>
            </w:pPr>
          </w:p>
        </w:tc>
        <w:tc>
          <w:tcPr>
            <w:tcW w:w="1818" w:type="dxa"/>
            <w:tcBorders>
              <w:top w:val="single" w:color="auto" w:sz="4" w:space="0"/>
              <w:left w:val="single" w:color="auto" w:sz="4" w:space="0"/>
              <w:bottom w:val="single" w:color="auto" w:sz="4" w:space="0"/>
              <w:right w:val="single" w:color="auto" w:sz="4" w:space="0"/>
            </w:tcBorders>
            <w:vAlign w:val="center"/>
          </w:tcPr>
          <w:p w14:paraId="7330829E">
            <w:pPr>
              <w:jc w:val="center"/>
              <w:rPr>
                <w:rFonts w:ascii="宋体" w:hAnsi="宋体" w:cs="宋体"/>
                <w:bCs/>
                <w:szCs w:val="21"/>
              </w:rPr>
            </w:pPr>
          </w:p>
        </w:tc>
      </w:tr>
      <w:tr w14:paraId="701C26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63" w:type="dxa"/>
            <w:tcBorders>
              <w:top w:val="single" w:color="auto" w:sz="4" w:space="0"/>
              <w:left w:val="single" w:color="auto" w:sz="4" w:space="0"/>
              <w:bottom w:val="single" w:color="auto" w:sz="4" w:space="0"/>
              <w:right w:val="single" w:color="auto" w:sz="4" w:space="0"/>
            </w:tcBorders>
            <w:vAlign w:val="center"/>
          </w:tcPr>
          <w:p w14:paraId="0781CDEC">
            <w:pPr>
              <w:jc w:val="center"/>
              <w:rPr>
                <w:rFonts w:ascii="宋体" w:hAnsi="宋体" w:cs="宋体"/>
                <w:bCs/>
                <w:szCs w:val="21"/>
              </w:rPr>
            </w:pPr>
            <w:r>
              <w:rPr>
                <w:rFonts w:hint="eastAsia" w:ascii="宋体" w:hAnsi="宋体" w:cs="宋体"/>
                <w:bCs/>
                <w:szCs w:val="21"/>
              </w:rPr>
              <w:t>17</w:t>
            </w:r>
          </w:p>
        </w:tc>
        <w:tc>
          <w:tcPr>
            <w:tcW w:w="1785" w:type="dxa"/>
            <w:tcBorders>
              <w:top w:val="single" w:color="auto" w:sz="4" w:space="0"/>
              <w:left w:val="single" w:color="auto" w:sz="4" w:space="0"/>
              <w:bottom w:val="single" w:color="auto" w:sz="4" w:space="0"/>
              <w:right w:val="single" w:color="auto" w:sz="4" w:space="0"/>
            </w:tcBorders>
            <w:vAlign w:val="center"/>
          </w:tcPr>
          <w:p w14:paraId="20DE9F34">
            <w:pPr>
              <w:ind w:right="15" w:rightChars="7"/>
              <w:rPr>
                <w:rFonts w:ascii="宋体" w:hAnsi="宋体" w:cs="宋体"/>
                <w:szCs w:val="21"/>
              </w:rPr>
            </w:pPr>
            <w:r>
              <w:rPr>
                <w:rFonts w:hint="eastAsia" w:ascii="宋体" w:hAnsi="宋体" w:cs="宋体"/>
                <w:szCs w:val="21"/>
              </w:rPr>
              <w:t>氩弧焊机</w:t>
            </w:r>
          </w:p>
        </w:tc>
        <w:tc>
          <w:tcPr>
            <w:tcW w:w="1060" w:type="dxa"/>
            <w:tcBorders>
              <w:top w:val="single" w:color="auto" w:sz="4" w:space="0"/>
              <w:left w:val="single" w:color="auto" w:sz="4" w:space="0"/>
              <w:bottom w:val="single" w:color="auto" w:sz="4" w:space="0"/>
              <w:right w:val="single" w:color="auto" w:sz="4" w:space="0"/>
            </w:tcBorders>
            <w:vAlign w:val="center"/>
          </w:tcPr>
          <w:p w14:paraId="5E88E318">
            <w:pPr>
              <w:tabs>
                <w:tab w:val="left" w:pos="4102"/>
                <w:tab w:val="right" w:pos="4402"/>
              </w:tabs>
              <w:jc w:val="center"/>
              <w:rPr>
                <w:rFonts w:ascii="宋体" w:hAnsi="宋体" w:cs="宋体"/>
                <w:szCs w:val="21"/>
              </w:rPr>
            </w:pPr>
          </w:p>
        </w:tc>
        <w:tc>
          <w:tcPr>
            <w:tcW w:w="1706" w:type="dxa"/>
            <w:tcBorders>
              <w:top w:val="single" w:color="auto" w:sz="4" w:space="0"/>
              <w:left w:val="single" w:color="auto" w:sz="4" w:space="0"/>
              <w:bottom w:val="single" w:color="auto" w:sz="4" w:space="0"/>
              <w:right w:val="single" w:color="auto" w:sz="4" w:space="0"/>
            </w:tcBorders>
            <w:vAlign w:val="center"/>
          </w:tcPr>
          <w:p w14:paraId="49172BBB">
            <w:pPr>
              <w:ind w:right="15" w:rightChars="7"/>
              <w:jc w:val="center"/>
              <w:rPr>
                <w:rFonts w:ascii="宋体" w:hAnsi="宋体" w:cs="宋体"/>
                <w:szCs w:val="21"/>
              </w:rPr>
            </w:pPr>
            <w:r>
              <w:rPr>
                <w:rFonts w:hint="eastAsia" w:ascii="宋体" w:hAnsi="宋体" w:cs="宋体"/>
                <w:szCs w:val="21"/>
              </w:rPr>
              <w:t>1台</w:t>
            </w:r>
          </w:p>
        </w:tc>
        <w:tc>
          <w:tcPr>
            <w:tcW w:w="1364" w:type="dxa"/>
            <w:tcBorders>
              <w:top w:val="single" w:color="auto" w:sz="4" w:space="0"/>
              <w:left w:val="single" w:color="auto" w:sz="4" w:space="0"/>
              <w:bottom w:val="single" w:color="auto" w:sz="4" w:space="0"/>
              <w:right w:val="single" w:color="auto" w:sz="4" w:space="0"/>
            </w:tcBorders>
          </w:tcPr>
          <w:p w14:paraId="455AF342">
            <w:pPr>
              <w:jc w:val="center"/>
              <w:rPr>
                <w:rFonts w:ascii="宋体" w:hAnsi="宋体" w:cs="宋体"/>
                <w:bCs/>
                <w:szCs w:val="21"/>
              </w:rPr>
            </w:pPr>
          </w:p>
        </w:tc>
        <w:tc>
          <w:tcPr>
            <w:tcW w:w="1818" w:type="dxa"/>
            <w:tcBorders>
              <w:top w:val="single" w:color="auto" w:sz="4" w:space="0"/>
              <w:left w:val="single" w:color="auto" w:sz="4" w:space="0"/>
              <w:bottom w:val="single" w:color="auto" w:sz="4" w:space="0"/>
              <w:right w:val="single" w:color="auto" w:sz="4" w:space="0"/>
            </w:tcBorders>
            <w:vAlign w:val="center"/>
          </w:tcPr>
          <w:p w14:paraId="2E8531A5">
            <w:pPr>
              <w:jc w:val="center"/>
              <w:rPr>
                <w:rFonts w:ascii="宋体" w:hAnsi="宋体" w:cs="宋体"/>
                <w:bCs/>
                <w:szCs w:val="21"/>
              </w:rPr>
            </w:pPr>
          </w:p>
        </w:tc>
      </w:tr>
      <w:tr w14:paraId="5C124C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63" w:type="dxa"/>
            <w:tcBorders>
              <w:top w:val="single" w:color="auto" w:sz="4" w:space="0"/>
              <w:left w:val="single" w:color="auto" w:sz="4" w:space="0"/>
              <w:bottom w:val="single" w:color="auto" w:sz="4" w:space="0"/>
              <w:right w:val="single" w:color="auto" w:sz="4" w:space="0"/>
            </w:tcBorders>
            <w:vAlign w:val="center"/>
          </w:tcPr>
          <w:p w14:paraId="4C2C7862">
            <w:pPr>
              <w:jc w:val="center"/>
              <w:rPr>
                <w:rFonts w:ascii="宋体" w:hAnsi="宋体" w:cs="宋体"/>
                <w:bCs/>
                <w:color w:val="auto"/>
                <w:szCs w:val="21"/>
              </w:rPr>
            </w:pPr>
            <w:r>
              <w:rPr>
                <w:rFonts w:hint="eastAsia" w:ascii="宋体" w:hAnsi="宋体" w:cs="宋体"/>
                <w:bCs/>
                <w:color w:val="auto"/>
                <w:szCs w:val="21"/>
              </w:rPr>
              <w:t>18</w:t>
            </w:r>
          </w:p>
        </w:tc>
        <w:tc>
          <w:tcPr>
            <w:tcW w:w="1785" w:type="dxa"/>
            <w:tcBorders>
              <w:top w:val="single" w:color="auto" w:sz="4" w:space="0"/>
              <w:left w:val="single" w:color="auto" w:sz="4" w:space="0"/>
              <w:bottom w:val="single" w:color="auto" w:sz="4" w:space="0"/>
              <w:right w:val="single" w:color="auto" w:sz="4" w:space="0"/>
            </w:tcBorders>
            <w:vAlign w:val="center"/>
          </w:tcPr>
          <w:p w14:paraId="2610F0BB">
            <w:pPr>
              <w:ind w:right="15" w:rightChars="7"/>
              <w:rPr>
                <w:rFonts w:ascii="宋体" w:hAnsi="宋体" w:cs="宋体"/>
                <w:color w:val="auto"/>
                <w:szCs w:val="21"/>
              </w:rPr>
            </w:pPr>
            <w:r>
              <w:rPr>
                <w:rFonts w:hint="eastAsia" w:ascii="宋体" w:hAnsi="宋体" w:cs="宋体"/>
                <w:color w:val="auto"/>
                <w:szCs w:val="21"/>
              </w:rPr>
              <w:t>电焊机</w:t>
            </w:r>
          </w:p>
        </w:tc>
        <w:tc>
          <w:tcPr>
            <w:tcW w:w="1060" w:type="dxa"/>
            <w:tcBorders>
              <w:top w:val="single" w:color="auto" w:sz="4" w:space="0"/>
              <w:left w:val="single" w:color="auto" w:sz="4" w:space="0"/>
              <w:bottom w:val="single" w:color="auto" w:sz="4" w:space="0"/>
              <w:right w:val="single" w:color="auto" w:sz="4" w:space="0"/>
            </w:tcBorders>
            <w:vAlign w:val="center"/>
          </w:tcPr>
          <w:p w14:paraId="544773B6">
            <w:pPr>
              <w:tabs>
                <w:tab w:val="left" w:pos="4102"/>
                <w:tab w:val="right" w:pos="4402"/>
              </w:tabs>
              <w:jc w:val="center"/>
              <w:rPr>
                <w:rFonts w:ascii="宋体" w:hAnsi="宋体" w:cs="宋体"/>
                <w:color w:val="auto"/>
                <w:szCs w:val="21"/>
              </w:rPr>
            </w:pPr>
          </w:p>
        </w:tc>
        <w:tc>
          <w:tcPr>
            <w:tcW w:w="1706" w:type="dxa"/>
            <w:tcBorders>
              <w:top w:val="single" w:color="auto" w:sz="4" w:space="0"/>
              <w:left w:val="single" w:color="auto" w:sz="4" w:space="0"/>
              <w:bottom w:val="single" w:color="auto" w:sz="4" w:space="0"/>
              <w:right w:val="single" w:color="auto" w:sz="4" w:space="0"/>
            </w:tcBorders>
            <w:vAlign w:val="center"/>
          </w:tcPr>
          <w:p w14:paraId="2E01AC0B">
            <w:pPr>
              <w:ind w:right="15" w:rightChars="7"/>
              <w:jc w:val="center"/>
              <w:rPr>
                <w:rFonts w:ascii="宋体" w:hAnsi="宋体" w:cs="宋体"/>
                <w:color w:val="auto"/>
                <w:szCs w:val="21"/>
              </w:rPr>
            </w:pPr>
            <w:r>
              <w:rPr>
                <w:rFonts w:hint="eastAsia" w:ascii="宋体" w:hAnsi="宋体" w:cs="宋体"/>
                <w:color w:val="auto"/>
                <w:szCs w:val="21"/>
                <w:lang w:val="en-US" w:eastAsia="zh-CN"/>
              </w:rPr>
              <w:t>2</w:t>
            </w:r>
            <w:r>
              <w:rPr>
                <w:rFonts w:hint="eastAsia" w:ascii="宋体" w:hAnsi="宋体" w:cs="宋体"/>
                <w:color w:val="auto"/>
                <w:szCs w:val="21"/>
              </w:rPr>
              <w:t>台</w:t>
            </w:r>
          </w:p>
        </w:tc>
        <w:tc>
          <w:tcPr>
            <w:tcW w:w="1364" w:type="dxa"/>
            <w:tcBorders>
              <w:top w:val="single" w:color="auto" w:sz="4" w:space="0"/>
              <w:left w:val="single" w:color="auto" w:sz="4" w:space="0"/>
              <w:bottom w:val="single" w:color="auto" w:sz="4" w:space="0"/>
              <w:right w:val="single" w:color="auto" w:sz="4" w:space="0"/>
            </w:tcBorders>
          </w:tcPr>
          <w:p w14:paraId="556A7091">
            <w:pPr>
              <w:jc w:val="center"/>
              <w:rPr>
                <w:rFonts w:ascii="宋体" w:hAnsi="宋体" w:cs="宋体"/>
                <w:bCs/>
                <w:color w:val="FF0000"/>
                <w:szCs w:val="21"/>
              </w:rPr>
            </w:pPr>
          </w:p>
        </w:tc>
        <w:tc>
          <w:tcPr>
            <w:tcW w:w="1818" w:type="dxa"/>
            <w:tcBorders>
              <w:top w:val="single" w:color="auto" w:sz="4" w:space="0"/>
              <w:left w:val="single" w:color="auto" w:sz="4" w:space="0"/>
              <w:bottom w:val="single" w:color="auto" w:sz="4" w:space="0"/>
              <w:right w:val="single" w:color="auto" w:sz="4" w:space="0"/>
            </w:tcBorders>
            <w:vAlign w:val="center"/>
          </w:tcPr>
          <w:p w14:paraId="7BCA39CF">
            <w:pPr>
              <w:jc w:val="center"/>
              <w:rPr>
                <w:rFonts w:ascii="宋体" w:hAnsi="宋体" w:cs="宋体"/>
                <w:bCs/>
                <w:szCs w:val="21"/>
              </w:rPr>
            </w:pPr>
          </w:p>
        </w:tc>
      </w:tr>
      <w:tr w14:paraId="616D1A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2" w:hRule="atLeast"/>
          <w:jc w:val="center"/>
        </w:trPr>
        <w:tc>
          <w:tcPr>
            <w:tcW w:w="563" w:type="dxa"/>
            <w:tcBorders>
              <w:top w:val="single" w:color="auto" w:sz="4" w:space="0"/>
              <w:left w:val="single" w:color="auto" w:sz="4" w:space="0"/>
              <w:bottom w:val="single" w:color="auto" w:sz="4" w:space="0"/>
              <w:right w:val="single" w:color="auto" w:sz="4" w:space="0"/>
            </w:tcBorders>
            <w:vAlign w:val="center"/>
          </w:tcPr>
          <w:p w14:paraId="2F4FBEBF">
            <w:pPr>
              <w:jc w:val="center"/>
              <w:rPr>
                <w:rFonts w:ascii="宋体" w:hAnsi="宋体" w:cs="宋体"/>
                <w:bCs/>
                <w:szCs w:val="21"/>
              </w:rPr>
            </w:pPr>
            <w:r>
              <w:rPr>
                <w:rFonts w:hint="eastAsia" w:ascii="宋体" w:hAnsi="宋体" w:cs="宋体"/>
                <w:bCs/>
                <w:szCs w:val="21"/>
              </w:rPr>
              <w:t>19</w:t>
            </w:r>
          </w:p>
        </w:tc>
        <w:tc>
          <w:tcPr>
            <w:tcW w:w="1785" w:type="dxa"/>
            <w:tcBorders>
              <w:top w:val="single" w:color="auto" w:sz="4" w:space="0"/>
              <w:left w:val="single" w:color="auto" w:sz="4" w:space="0"/>
              <w:bottom w:val="single" w:color="auto" w:sz="4" w:space="0"/>
              <w:right w:val="single" w:color="auto" w:sz="4" w:space="0"/>
            </w:tcBorders>
            <w:vAlign w:val="center"/>
          </w:tcPr>
          <w:p w14:paraId="083EBB5B">
            <w:pPr>
              <w:ind w:right="15" w:rightChars="7"/>
              <w:rPr>
                <w:rFonts w:ascii="宋体" w:hAnsi="宋体" w:cs="宋体"/>
                <w:szCs w:val="21"/>
              </w:rPr>
            </w:pPr>
            <w:r>
              <w:rPr>
                <w:rFonts w:hint="eastAsia" w:ascii="宋体" w:hAnsi="宋体" w:cs="宋体"/>
                <w:szCs w:val="21"/>
              </w:rPr>
              <w:t>轴承拆卸装置（液压）</w:t>
            </w:r>
          </w:p>
        </w:tc>
        <w:tc>
          <w:tcPr>
            <w:tcW w:w="1060" w:type="dxa"/>
            <w:tcBorders>
              <w:top w:val="single" w:color="auto" w:sz="4" w:space="0"/>
              <w:left w:val="single" w:color="auto" w:sz="4" w:space="0"/>
              <w:bottom w:val="single" w:color="auto" w:sz="4" w:space="0"/>
              <w:right w:val="single" w:color="auto" w:sz="4" w:space="0"/>
            </w:tcBorders>
            <w:vAlign w:val="center"/>
          </w:tcPr>
          <w:p w14:paraId="50665F9F">
            <w:pPr>
              <w:tabs>
                <w:tab w:val="left" w:pos="4102"/>
                <w:tab w:val="right" w:pos="4402"/>
              </w:tabs>
              <w:jc w:val="center"/>
              <w:rPr>
                <w:rFonts w:ascii="宋体" w:hAnsi="宋体" w:cs="宋体"/>
                <w:szCs w:val="21"/>
              </w:rPr>
            </w:pPr>
          </w:p>
        </w:tc>
        <w:tc>
          <w:tcPr>
            <w:tcW w:w="1706" w:type="dxa"/>
            <w:tcBorders>
              <w:top w:val="single" w:color="auto" w:sz="4" w:space="0"/>
              <w:left w:val="single" w:color="auto" w:sz="4" w:space="0"/>
              <w:bottom w:val="single" w:color="auto" w:sz="4" w:space="0"/>
              <w:right w:val="single" w:color="auto" w:sz="4" w:space="0"/>
            </w:tcBorders>
            <w:vAlign w:val="center"/>
          </w:tcPr>
          <w:p w14:paraId="2765CC98">
            <w:pPr>
              <w:ind w:right="15" w:rightChars="7"/>
              <w:jc w:val="center"/>
              <w:rPr>
                <w:rFonts w:ascii="宋体" w:hAnsi="宋体" w:cs="宋体"/>
                <w:szCs w:val="21"/>
              </w:rPr>
            </w:pPr>
            <w:r>
              <w:rPr>
                <w:rFonts w:hint="eastAsia" w:ascii="宋体" w:hAnsi="宋体" w:cs="宋体"/>
                <w:szCs w:val="21"/>
              </w:rPr>
              <w:t>2套</w:t>
            </w:r>
          </w:p>
        </w:tc>
        <w:tc>
          <w:tcPr>
            <w:tcW w:w="1364" w:type="dxa"/>
            <w:tcBorders>
              <w:top w:val="single" w:color="auto" w:sz="4" w:space="0"/>
              <w:left w:val="single" w:color="auto" w:sz="4" w:space="0"/>
              <w:bottom w:val="single" w:color="auto" w:sz="4" w:space="0"/>
              <w:right w:val="single" w:color="auto" w:sz="4" w:space="0"/>
            </w:tcBorders>
          </w:tcPr>
          <w:p w14:paraId="0B456952">
            <w:pPr>
              <w:jc w:val="center"/>
              <w:rPr>
                <w:rFonts w:ascii="宋体" w:hAnsi="宋体" w:cs="宋体"/>
                <w:bCs/>
                <w:szCs w:val="21"/>
              </w:rPr>
            </w:pPr>
          </w:p>
        </w:tc>
        <w:tc>
          <w:tcPr>
            <w:tcW w:w="1818" w:type="dxa"/>
            <w:tcBorders>
              <w:top w:val="single" w:color="auto" w:sz="4" w:space="0"/>
              <w:left w:val="single" w:color="auto" w:sz="4" w:space="0"/>
              <w:bottom w:val="single" w:color="auto" w:sz="4" w:space="0"/>
              <w:right w:val="single" w:color="auto" w:sz="4" w:space="0"/>
            </w:tcBorders>
            <w:vAlign w:val="center"/>
          </w:tcPr>
          <w:p w14:paraId="2E7DCC55">
            <w:pPr>
              <w:jc w:val="center"/>
              <w:rPr>
                <w:rFonts w:ascii="宋体" w:hAnsi="宋体" w:cs="宋体"/>
                <w:bCs/>
                <w:szCs w:val="21"/>
              </w:rPr>
            </w:pPr>
          </w:p>
        </w:tc>
      </w:tr>
      <w:tr w14:paraId="0765B5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8" w:hRule="atLeast"/>
          <w:jc w:val="center"/>
        </w:trPr>
        <w:tc>
          <w:tcPr>
            <w:tcW w:w="563" w:type="dxa"/>
            <w:tcBorders>
              <w:top w:val="single" w:color="auto" w:sz="4" w:space="0"/>
              <w:left w:val="single" w:color="auto" w:sz="4" w:space="0"/>
              <w:bottom w:val="single" w:color="auto" w:sz="4" w:space="0"/>
              <w:right w:val="single" w:color="auto" w:sz="4" w:space="0"/>
            </w:tcBorders>
            <w:vAlign w:val="center"/>
          </w:tcPr>
          <w:p w14:paraId="102F0476">
            <w:pPr>
              <w:jc w:val="center"/>
              <w:rPr>
                <w:rFonts w:ascii="宋体" w:hAnsi="宋体" w:cs="宋体"/>
                <w:bCs/>
                <w:szCs w:val="21"/>
              </w:rPr>
            </w:pPr>
            <w:r>
              <w:rPr>
                <w:rFonts w:hint="eastAsia" w:ascii="宋体" w:hAnsi="宋体" w:cs="宋体"/>
                <w:bCs/>
                <w:szCs w:val="21"/>
              </w:rPr>
              <w:t>2</w:t>
            </w:r>
            <w:r>
              <w:rPr>
                <w:rFonts w:ascii="宋体" w:hAnsi="宋体" w:cs="宋体"/>
                <w:bCs/>
                <w:szCs w:val="21"/>
              </w:rPr>
              <w:t>0</w:t>
            </w:r>
          </w:p>
        </w:tc>
        <w:tc>
          <w:tcPr>
            <w:tcW w:w="1785" w:type="dxa"/>
            <w:tcBorders>
              <w:top w:val="single" w:color="auto" w:sz="4" w:space="0"/>
              <w:left w:val="single" w:color="auto" w:sz="4" w:space="0"/>
              <w:bottom w:val="single" w:color="auto" w:sz="4" w:space="0"/>
              <w:right w:val="single" w:color="auto" w:sz="4" w:space="0"/>
            </w:tcBorders>
            <w:vAlign w:val="center"/>
          </w:tcPr>
          <w:p w14:paraId="0EA08F71">
            <w:pPr>
              <w:tabs>
                <w:tab w:val="left" w:pos="4960"/>
                <w:tab w:val="left" w:pos="5247"/>
              </w:tabs>
              <w:ind w:right="15" w:rightChars="7"/>
              <w:rPr>
                <w:rFonts w:ascii="宋体" w:hAnsi="宋体" w:cs="宋体"/>
                <w:szCs w:val="21"/>
              </w:rPr>
            </w:pPr>
            <w:r>
              <w:rPr>
                <w:rFonts w:hint="eastAsia" w:ascii="宋体" w:hAnsi="宋体" w:cs="宋体"/>
                <w:szCs w:val="21"/>
              </w:rPr>
              <w:t>PPR管热熔器</w:t>
            </w:r>
          </w:p>
        </w:tc>
        <w:tc>
          <w:tcPr>
            <w:tcW w:w="1060" w:type="dxa"/>
            <w:tcBorders>
              <w:top w:val="single" w:color="auto" w:sz="4" w:space="0"/>
              <w:left w:val="single" w:color="auto" w:sz="4" w:space="0"/>
              <w:bottom w:val="single" w:color="auto" w:sz="4" w:space="0"/>
              <w:right w:val="single" w:color="auto" w:sz="4" w:space="0"/>
            </w:tcBorders>
            <w:vAlign w:val="center"/>
          </w:tcPr>
          <w:p w14:paraId="1CC33A1E">
            <w:pPr>
              <w:tabs>
                <w:tab w:val="left" w:pos="4102"/>
                <w:tab w:val="right" w:pos="4402"/>
              </w:tabs>
              <w:jc w:val="center"/>
              <w:rPr>
                <w:rFonts w:ascii="宋体" w:hAnsi="宋体" w:cs="宋体"/>
                <w:szCs w:val="21"/>
              </w:rPr>
            </w:pPr>
          </w:p>
        </w:tc>
        <w:tc>
          <w:tcPr>
            <w:tcW w:w="1706" w:type="dxa"/>
            <w:tcBorders>
              <w:top w:val="single" w:color="auto" w:sz="4" w:space="0"/>
              <w:left w:val="single" w:color="auto" w:sz="4" w:space="0"/>
              <w:bottom w:val="single" w:color="auto" w:sz="4" w:space="0"/>
              <w:right w:val="single" w:color="auto" w:sz="4" w:space="0"/>
            </w:tcBorders>
            <w:vAlign w:val="center"/>
          </w:tcPr>
          <w:p w14:paraId="36C40D4E">
            <w:pPr>
              <w:tabs>
                <w:tab w:val="left" w:pos="4960"/>
                <w:tab w:val="left" w:pos="5247"/>
              </w:tabs>
              <w:ind w:right="15" w:rightChars="7"/>
              <w:jc w:val="center"/>
              <w:rPr>
                <w:rFonts w:ascii="宋体" w:hAnsi="宋体" w:cs="宋体"/>
                <w:szCs w:val="21"/>
              </w:rPr>
            </w:pPr>
            <w:r>
              <w:rPr>
                <w:rFonts w:hint="eastAsia" w:ascii="宋体" w:hAnsi="宋体" w:cs="宋体"/>
                <w:szCs w:val="21"/>
              </w:rPr>
              <w:t>1台</w:t>
            </w:r>
          </w:p>
        </w:tc>
        <w:tc>
          <w:tcPr>
            <w:tcW w:w="1364" w:type="dxa"/>
            <w:tcBorders>
              <w:top w:val="single" w:color="auto" w:sz="4" w:space="0"/>
              <w:left w:val="single" w:color="auto" w:sz="4" w:space="0"/>
              <w:bottom w:val="single" w:color="auto" w:sz="4" w:space="0"/>
              <w:right w:val="single" w:color="auto" w:sz="4" w:space="0"/>
            </w:tcBorders>
          </w:tcPr>
          <w:p w14:paraId="1556E789">
            <w:pPr>
              <w:jc w:val="center"/>
              <w:rPr>
                <w:rFonts w:ascii="宋体" w:hAnsi="宋体" w:cs="宋体"/>
                <w:bCs/>
                <w:szCs w:val="21"/>
              </w:rPr>
            </w:pPr>
          </w:p>
        </w:tc>
        <w:tc>
          <w:tcPr>
            <w:tcW w:w="1818" w:type="dxa"/>
            <w:tcBorders>
              <w:top w:val="single" w:color="auto" w:sz="4" w:space="0"/>
              <w:left w:val="single" w:color="auto" w:sz="4" w:space="0"/>
              <w:bottom w:val="single" w:color="auto" w:sz="4" w:space="0"/>
              <w:right w:val="single" w:color="auto" w:sz="4" w:space="0"/>
            </w:tcBorders>
            <w:vAlign w:val="center"/>
          </w:tcPr>
          <w:p w14:paraId="72D1D7CB">
            <w:pPr>
              <w:jc w:val="center"/>
              <w:rPr>
                <w:rFonts w:ascii="宋体" w:hAnsi="宋体" w:cs="宋体"/>
                <w:bCs/>
                <w:szCs w:val="21"/>
              </w:rPr>
            </w:pPr>
          </w:p>
        </w:tc>
      </w:tr>
      <w:tr w14:paraId="0E6654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6" w:hRule="atLeast"/>
          <w:jc w:val="center"/>
        </w:trPr>
        <w:tc>
          <w:tcPr>
            <w:tcW w:w="563" w:type="dxa"/>
            <w:tcBorders>
              <w:top w:val="single" w:color="auto" w:sz="4" w:space="0"/>
              <w:left w:val="single" w:color="auto" w:sz="4" w:space="0"/>
              <w:bottom w:val="single" w:color="auto" w:sz="4" w:space="0"/>
              <w:right w:val="single" w:color="auto" w:sz="4" w:space="0"/>
            </w:tcBorders>
            <w:vAlign w:val="center"/>
          </w:tcPr>
          <w:p w14:paraId="7758A43E">
            <w:pPr>
              <w:jc w:val="center"/>
              <w:rPr>
                <w:rFonts w:ascii="宋体" w:hAnsi="宋体" w:cs="宋体"/>
                <w:bCs/>
                <w:szCs w:val="21"/>
              </w:rPr>
            </w:pPr>
            <w:r>
              <w:rPr>
                <w:rFonts w:hint="eastAsia" w:ascii="宋体" w:hAnsi="宋体" w:cs="宋体"/>
                <w:bCs/>
                <w:szCs w:val="21"/>
              </w:rPr>
              <w:t>21</w:t>
            </w:r>
          </w:p>
        </w:tc>
        <w:tc>
          <w:tcPr>
            <w:tcW w:w="1785" w:type="dxa"/>
            <w:tcBorders>
              <w:top w:val="single" w:color="auto" w:sz="4" w:space="0"/>
              <w:left w:val="single" w:color="auto" w:sz="4" w:space="0"/>
              <w:bottom w:val="single" w:color="auto" w:sz="4" w:space="0"/>
              <w:right w:val="single" w:color="auto" w:sz="4" w:space="0"/>
            </w:tcBorders>
            <w:vAlign w:val="center"/>
          </w:tcPr>
          <w:p w14:paraId="4A1E512D">
            <w:pPr>
              <w:ind w:right="15" w:rightChars="7"/>
              <w:rPr>
                <w:rFonts w:ascii="宋体" w:hAnsi="宋体" w:cs="宋体"/>
                <w:szCs w:val="21"/>
              </w:rPr>
            </w:pPr>
            <w:r>
              <w:rPr>
                <w:rFonts w:hint="eastAsia" w:ascii="宋体" w:hAnsi="宋体" w:cs="宋体"/>
                <w:szCs w:val="21"/>
              </w:rPr>
              <w:t>低压防爆照明灯</w:t>
            </w:r>
          </w:p>
        </w:tc>
        <w:tc>
          <w:tcPr>
            <w:tcW w:w="1060" w:type="dxa"/>
            <w:tcBorders>
              <w:top w:val="single" w:color="auto" w:sz="4" w:space="0"/>
              <w:left w:val="single" w:color="auto" w:sz="4" w:space="0"/>
              <w:bottom w:val="single" w:color="auto" w:sz="4" w:space="0"/>
              <w:right w:val="single" w:color="auto" w:sz="4" w:space="0"/>
            </w:tcBorders>
            <w:vAlign w:val="center"/>
          </w:tcPr>
          <w:p w14:paraId="10906BAE">
            <w:pPr>
              <w:tabs>
                <w:tab w:val="left" w:pos="4102"/>
                <w:tab w:val="right" w:pos="4402"/>
              </w:tabs>
              <w:jc w:val="center"/>
              <w:rPr>
                <w:rFonts w:ascii="宋体" w:hAnsi="宋体" w:cs="宋体"/>
                <w:szCs w:val="21"/>
              </w:rPr>
            </w:pPr>
          </w:p>
        </w:tc>
        <w:tc>
          <w:tcPr>
            <w:tcW w:w="1706" w:type="dxa"/>
            <w:tcBorders>
              <w:top w:val="single" w:color="auto" w:sz="4" w:space="0"/>
              <w:left w:val="single" w:color="auto" w:sz="4" w:space="0"/>
              <w:bottom w:val="single" w:color="auto" w:sz="4" w:space="0"/>
              <w:right w:val="single" w:color="auto" w:sz="4" w:space="0"/>
            </w:tcBorders>
            <w:vAlign w:val="center"/>
          </w:tcPr>
          <w:p w14:paraId="3D0B82F1">
            <w:pPr>
              <w:tabs>
                <w:tab w:val="left" w:pos="4960"/>
                <w:tab w:val="left" w:pos="5247"/>
              </w:tabs>
              <w:ind w:right="15" w:rightChars="7"/>
              <w:jc w:val="center"/>
              <w:rPr>
                <w:rFonts w:ascii="宋体" w:hAnsi="宋体" w:cs="宋体"/>
                <w:szCs w:val="21"/>
              </w:rPr>
            </w:pPr>
            <w:r>
              <w:rPr>
                <w:rFonts w:hint="eastAsia" w:ascii="宋体" w:hAnsi="宋体" w:cs="宋体"/>
                <w:szCs w:val="21"/>
                <w:lang w:val="en-US" w:eastAsia="zh-CN"/>
              </w:rPr>
              <w:t>2</w:t>
            </w:r>
            <w:r>
              <w:rPr>
                <w:rFonts w:hint="eastAsia" w:ascii="宋体" w:hAnsi="宋体" w:cs="宋体"/>
                <w:szCs w:val="21"/>
              </w:rPr>
              <w:t>套</w:t>
            </w:r>
          </w:p>
        </w:tc>
        <w:tc>
          <w:tcPr>
            <w:tcW w:w="1364" w:type="dxa"/>
            <w:tcBorders>
              <w:top w:val="single" w:color="auto" w:sz="4" w:space="0"/>
              <w:left w:val="single" w:color="auto" w:sz="4" w:space="0"/>
              <w:bottom w:val="single" w:color="auto" w:sz="4" w:space="0"/>
              <w:right w:val="single" w:color="auto" w:sz="4" w:space="0"/>
            </w:tcBorders>
          </w:tcPr>
          <w:p w14:paraId="67CBFF66">
            <w:pPr>
              <w:jc w:val="center"/>
              <w:rPr>
                <w:rFonts w:ascii="宋体" w:hAnsi="宋体" w:cs="宋体"/>
                <w:bCs/>
                <w:szCs w:val="21"/>
              </w:rPr>
            </w:pPr>
          </w:p>
        </w:tc>
        <w:tc>
          <w:tcPr>
            <w:tcW w:w="1818" w:type="dxa"/>
            <w:tcBorders>
              <w:top w:val="single" w:color="auto" w:sz="4" w:space="0"/>
              <w:left w:val="single" w:color="auto" w:sz="4" w:space="0"/>
              <w:bottom w:val="single" w:color="auto" w:sz="4" w:space="0"/>
              <w:right w:val="single" w:color="auto" w:sz="4" w:space="0"/>
            </w:tcBorders>
            <w:vAlign w:val="center"/>
          </w:tcPr>
          <w:p w14:paraId="3CD67DD4">
            <w:pPr>
              <w:jc w:val="center"/>
              <w:rPr>
                <w:rFonts w:ascii="宋体" w:hAnsi="宋体" w:cs="宋体"/>
                <w:bCs/>
                <w:szCs w:val="21"/>
              </w:rPr>
            </w:pPr>
            <w:r>
              <w:rPr>
                <w:rFonts w:hint="eastAsia" w:ascii="宋体" w:hAnsi="宋体" w:cs="宋体"/>
                <w:szCs w:val="21"/>
              </w:rPr>
              <w:t>用于受限空间</w:t>
            </w:r>
          </w:p>
        </w:tc>
      </w:tr>
      <w:tr w14:paraId="1C0F31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9" w:hRule="atLeast"/>
          <w:jc w:val="center"/>
        </w:trPr>
        <w:tc>
          <w:tcPr>
            <w:tcW w:w="563" w:type="dxa"/>
            <w:tcBorders>
              <w:top w:val="single" w:color="auto" w:sz="4" w:space="0"/>
              <w:left w:val="single" w:color="auto" w:sz="4" w:space="0"/>
              <w:bottom w:val="single" w:color="auto" w:sz="4" w:space="0"/>
              <w:right w:val="single" w:color="auto" w:sz="4" w:space="0"/>
            </w:tcBorders>
            <w:vAlign w:val="center"/>
          </w:tcPr>
          <w:p w14:paraId="6A93FB0E">
            <w:pPr>
              <w:jc w:val="center"/>
              <w:rPr>
                <w:rFonts w:ascii="宋体" w:hAnsi="宋体" w:cs="宋体"/>
                <w:bCs/>
                <w:szCs w:val="21"/>
              </w:rPr>
            </w:pPr>
            <w:r>
              <w:rPr>
                <w:rFonts w:hint="eastAsia" w:ascii="宋体" w:hAnsi="宋体" w:cs="宋体"/>
                <w:bCs/>
                <w:szCs w:val="21"/>
              </w:rPr>
              <w:t>22</w:t>
            </w:r>
          </w:p>
        </w:tc>
        <w:tc>
          <w:tcPr>
            <w:tcW w:w="1785" w:type="dxa"/>
            <w:tcBorders>
              <w:top w:val="single" w:color="auto" w:sz="4" w:space="0"/>
              <w:left w:val="single" w:color="auto" w:sz="4" w:space="0"/>
              <w:bottom w:val="single" w:color="auto" w:sz="4" w:space="0"/>
              <w:right w:val="single" w:color="auto" w:sz="4" w:space="0"/>
            </w:tcBorders>
            <w:vAlign w:val="center"/>
          </w:tcPr>
          <w:p w14:paraId="6DEFB082">
            <w:pPr>
              <w:ind w:right="15" w:rightChars="7"/>
              <w:rPr>
                <w:rFonts w:ascii="宋体" w:hAnsi="宋体" w:cs="宋体"/>
                <w:szCs w:val="21"/>
              </w:rPr>
            </w:pPr>
            <w:r>
              <w:rPr>
                <w:rFonts w:hint="eastAsia" w:ascii="宋体" w:hAnsi="宋体" w:cs="宋体"/>
                <w:szCs w:val="21"/>
              </w:rPr>
              <w:t>清洁工器具</w:t>
            </w:r>
          </w:p>
        </w:tc>
        <w:tc>
          <w:tcPr>
            <w:tcW w:w="1060" w:type="dxa"/>
            <w:tcBorders>
              <w:top w:val="single" w:color="auto" w:sz="4" w:space="0"/>
              <w:left w:val="single" w:color="auto" w:sz="4" w:space="0"/>
              <w:bottom w:val="single" w:color="auto" w:sz="4" w:space="0"/>
              <w:right w:val="single" w:color="auto" w:sz="4" w:space="0"/>
            </w:tcBorders>
            <w:vAlign w:val="center"/>
          </w:tcPr>
          <w:p w14:paraId="1B86C158">
            <w:pPr>
              <w:tabs>
                <w:tab w:val="left" w:pos="4102"/>
                <w:tab w:val="right" w:pos="4402"/>
              </w:tabs>
              <w:jc w:val="center"/>
              <w:rPr>
                <w:rFonts w:ascii="宋体" w:hAnsi="宋体" w:cs="宋体"/>
                <w:szCs w:val="21"/>
              </w:rPr>
            </w:pPr>
          </w:p>
        </w:tc>
        <w:tc>
          <w:tcPr>
            <w:tcW w:w="1706" w:type="dxa"/>
            <w:tcBorders>
              <w:top w:val="single" w:color="auto" w:sz="4" w:space="0"/>
              <w:left w:val="single" w:color="auto" w:sz="4" w:space="0"/>
              <w:bottom w:val="single" w:color="auto" w:sz="4" w:space="0"/>
              <w:right w:val="single" w:color="auto" w:sz="4" w:space="0"/>
            </w:tcBorders>
            <w:vAlign w:val="center"/>
          </w:tcPr>
          <w:p w14:paraId="3382BFEE">
            <w:pPr>
              <w:tabs>
                <w:tab w:val="left" w:pos="4960"/>
                <w:tab w:val="left" w:pos="5247"/>
              </w:tabs>
              <w:ind w:right="15" w:rightChars="7"/>
              <w:jc w:val="center"/>
              <w:rPr>
                <w:rFonts w:ascii="宋体" w:hAnsi="宋体" w:cs="宋体"/>
                <w:szCs w:val="21"/>
              </w:rPr>
            </w:pPr>
            <w:r>
              <w:rPr>
                <w:rFonts w:hint="eastAsia" w:ascii="宋体" w:hAnsi="宋体" w:cs="宋体"/>
                <w:szCs w:val="21"/>
              </w:rPr>
              <w:t>若干</w:t>
            </w:r>
          </w:p>
        </w:tc>
        <w:tc>
          <w:tcPr>
            <w:tcW w:w="1364" w:type="dxa"/>
            <w:tcBorders>
              <w:top w:val="single" w:color="auto" w:sz="4" w:space="0"/>
              <w:left w:val="single" w:color="auto" w:sz="4" w:space="0"/>
              <w:bottom w:val="single" w:color="auto" w:sz="4" w:space="0"/>
              <w:right w:val="single" w:color="auto" w:sz="4" w:space="0"/>
            </w:tcBorders>
          </w:tcPr>
          <w:p w14:paraId="7BF2499D">
            <w:pPr>
              <w:jc w:val="center"/>
              <w:rPr>
                <w:rFonts w:ascii="宋体" w:hAnsi="宋体" w:cs="宋体"/>
                <w:bCs/>
                <w:szCs w:val="21"/>
              </w:rPr>
            </w:pPr>
          </w:p>
        </w:tc>
        <w:tc>
          <w:tcPr>
            <w:tcW w:w="1818" w:type="dxa"/>
            <w:tcBorders>
              <w:top w:val="single" w:color="auto" w:sz="4" w:space="0"/>
              <w:left w:val="single" w:color="auto" w:sz="4" w:space="0"/>
              <w:bottom w:val="single" w:color="auto" w:sz="4" w:space="0"/>
              <w:right w:val="single" w:color="auto" w:sz="4" w:space="0"/>
            </w:tcBorders>
            <w:vAlign w:val="center"/>
          </w:tcPr>
          <w:p w14:paraId="0AE7BB15">
            <w:pPr>
              <w:jc w:val="center"/>
              <w:rPr>
                <w:rFonts w:ascii="宋体" w:hAnsi="宋体" w:cs="宋体"/>
                <w:bCs/>
                <w:szCs w:val="21"/>
              </w:rPr>
            </w:pPr>
            <w:r>
              <w:rPr>
                <w:rFonts w:hint="eastAsia" w:ascii="宋体" w:hAnsi="宋体" w:cs="宋体"/>
                <w:bCs/>
                <w:szCs w:val="21"/>
              </w:rPr>
              <w:t>满足现场需要</w:t>
            </w:r>
          </w:p>
        </w:tc>
      </w:tr>
      <w:tr w14:paraId="75346B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0" w:hRule="atLeast"/>
          <w:jc w:val="center"/>
        </w:trPr>
        <w:tc>
          <w:tcPr>
            <w:tcW w:w="563" w:type="dxa"/>
            <w:tcBorders>
              <w:top w:val="single" w:color="auto" w:sz="4" w:space="0"/>
              <w:left w:val="single" w:color="auto" w:sz="4" w:space="0"/>
              <w:bottom w:val="single" w:color="auto" w:sz="4" w:space="0"/>
              <w:right w:val="single" w:color="auto" w:sz="4" w:space="0"/>
            </w:tcBorders>
            <w:vAlign w:val="center"/>
          </w:tcPr>
          <w:p w14:paraId="5EDE9BC9">
            <w:pPr>
              <w:jc w:val="center"/>
              <w:rPr>
                <w:rFonts w:ascii="宋体" w:hAnsi="宋体" w:cs="宋体"/>
                <w:bCs/>
                <w:szCs w:val="21"/>
              </w:rPr>
            </w:pPr>
            <w:r>
              <w:rPr>
                <w:rFonts w:hint="eastAsia" w:ascii="宋体" w:hAnsi="宋体" w:cs="宋体"/>
                <w:bCs/>
                <w:szCs w:val="21"/>
              </w:rPr>
              <w:t>23</w:t>
            </w:r>
          </w:p>
        </w:tc>
        <w:tc>
          <w:tcPr>
            <w:tcW w:w="1785" w:type="dxa"/>
            <w:tcBorders>
              <w:top w:val="single" w:color="auto" w:sz="4" w:space="0"/>
              <w:left w:val="single" w:color="auto" w:sz="4" w:space="0"/>
              <w:bottom w:val="single" w:color="auto" w:sz="4" w:space="0"/>
              <w:right w:val="single" w:color="auto" w:sz="4" w:space="0"/>
            </w:tcBorders>
            <w:vAlign w:val="center"/>
          </w:tcPr>
          <w:p w14:paraId="7E544148">
            <w:pPr>
              <w:ind w:right="15" w:rightChars="7"/>
              <w:rPr>
                <w:rFonts w:ascii="宋体" w:hAnsi="宋体" w:cs="宋体"/>
                <w:szCs w:val="21"/>
              </w:rPr>
            </w:pPr>
            <w:r>
              <w:rPr>
                <w:rFonts w:hint="eastAsia" w:ascii="宋体" w:hAnsi="宋体" w:cs="宋体"/>
                <w:szCs w:val="21"/>
              </w:rPr>
              <w:t>无线调频对讲机</w:t>
            </w:r>
          </w:p>
        </w:tc>
        <w:tc>
          <w:tcPr>
            <w:tcW w:w="1060" w:type="dxa"/>
            <w:tcBorders>
              <w:top w:val="single" w:color="auto" w:sz="4" w:space="0"/>
              <w:left w:val="single" w:color="auto" w:sz="4" w:space="0"/>
              <w:bottom w:val="single" w:color="auto" w:sz="4" w:space="0"/>
              <w:right w:val="single" w:color="auto" w:sz="4" w:space="0"/>
            </w:tcBorders>
            <w:vAlign w:val="center"/>
          </w:tcPr>
          <w:p w14:paraId="0A662E87">
            <w:pPr>
              <w:tabs>
                <w:tab w:val="left" w:pos="4102"/>
                <w:tab w:val="right" w:pos="4402"/>
              </w:tabs>
              <w:jc w:val="center"/>
              <w:rPr>
                <w:rFonts w:ascii="宋体" w:hAnsi="宋体" w:cs="宋体"/>
                <w:szCs w:val="21"/>
              </w:rPr>
            </w:pPr>
          </w:p>
        </w:tc>
        <w:tc>
          <w:tcPr>
            <w:tcW w:w="1706" w:type="dxa"/>
            <w:tcBorders>
              <w:top w:val="single" w:color="auto" w:sz="4" w:space="0"/>
              <w:left w:val="single" w:color="auto" w:sz="4" w:space="0"/>
              <w:bottom w:val="single" w:color="auto" w:sz="4" w:space="0"/>
              <w:right w:val="single" w:color="auto" w:sz="4" w:space="0"/>
            </w:tcBorders>
            <w:vAlign w:val="center"/>
          </w:tcPr>
          <w:p w14:paraId="5B45B041">
            <w:pPr>
              <w:tabs>
                <w:tab w:val="left" w:pos="4960"/>
                <w:tab w:val="left" w:pos="5247"/>
              </w:tabs>
              <w:ind w:right="15" w:rightChars="7"/>
              <w:jc w:val="center"/>
              <w:rPr>
                <w:rFonts w:ascii="宋体" w:hAnsi="宋体" w:cs="宋体"/>
                <w:szCs w:val="21"/>
              </w:rPr>
            </w:pPr>
            <w:r>
              <w:rPr>
                <w:rFonts w:hint="eastAsia" w:ascii="宋体" w:hAnsi="宋体" w:cs="宋体"/>
                <w:szCs w:val="21"/>
                <w:lang w:val="en-US" w:eastAsia="zh-CN"/>
              </w:rPr>
              <w:t>2</w:t>
            </w:r>
            <w:r>
              <w:rPr>
                <w:rFonts w:hint="eastAsia" w:ascii="宋体" w:hAnsi="宋体" w:cs="宋体"/>
                <w:szCs w:val="21"/>
              </w:rPr>
              <w:t>对</w:t>
            </w:r>
          </w:p>
        </w:tc>
        <w:tc>
          <w:tcPr>
            <w:tcW w:w="1364" w:type="dxa"/>
            <w:tcBorders>
              <w:top w:val="single" w:color="auto" w:sz="4" w:space="0"/>
              <w:left w:val="single" w:color="auto" w:sz="4" w:space="0"/>
              <w:bottom w:val="single" w:color="auto" w:sz="4" w:space="0"/>
              <w:right w:val="single" w:color="auto" w:sz="4" w:space="0"/>
            </w:tcBorders>
          </w:tcPr>
          <w:p w14:paraId="70BF532A">
            <w:pPr>
              <w:jc w:val="center"/>
              <w:rPr>
                <w:rFonts w:ascii="宋体" w:hAnsi="宋体" w:cs="宋体"/>
                <w:bCs/>
                <w:szCs w:val="21"/>
              </w:rPr>
            </w:pPr>
          </w:p>
        </w:tc>
        <w:tc>
          <w:tcPr>
            <w:tcW w:w="1818" w:type="dxa"/>
            <w:tcBorders>
              <w:top w:val="single" w:color="auto" w:sz="4" w:space="0"/>
              <w:left w:val="single" w:color="auto" w:sz="4" w:space="0"/>
              <w:bottom w:val="single" w:color="auto" w:sz="4" w:space="0"/>
              <w:right w:val="single" w:color="auto" w:sz="4" w:space="0"/>
            </w:tcBorders>
            <w:vAlign w:val="center"/>
          </w:tcPr>
          <w:p w14:paraId="295248F4">
            <w:pPr>
              <w:jc w:val="center"/>
              <w:rPr>
                <w:rFonts w:ascii="宋体" w:hAnsi="宋体" w:cs="宋体"/>
                <w:bCs/>
                <w:szCs w:val="21"/>
              </w:rPr>
            </w:pPr>
          </w:p>
        </w:tc>
      </w:tr>
      <w:tr w14:paraId="0591DF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7" w:hRule="atLeast"/>
          <w:jc w:val="center"/>
        </w:trPr>
        <w:tc>
          <w:tcPr>
            <w:tcW w:w="563" w:type="dxa"/>
            <w:tcBorders>
              <w:top w:val="single" w:color="auto" w:sz="4" w:space="0"/>
              <w:left w:val="single" w:color="auto" w:sz="4" w:space="0"/>
              <w:bottom w:val="single" w:color="auto" w:sz="4" w:space="0"/>
              <w:right w:val="single" w:color="auto" w:sz="4" w:space="0"/>
            </w:tcBorders>
            <w:vAlign w:val="center"/>
          </w:tcPr>
          <w:p w14:paraId="0808F56C">
            <w:pPr>
              <w:jc w:val="center"/>
              <w:rPr>
                <w:rFonts w:ascii="宋体" w:hAnsi="宋体" w:cs="宋体"/>
                <w:bCs/>
                <w:szCs w:val="21"/>
              </w:rPr>
            </w:pPr>
            <w:r>
              <w:rPr>
                <w:rFonts w:hint="eastAsia" w:ascii="宋体" w:hAnsi="宋体" w:cs="宋体"/>
                <w:bCs/>
                <w:szCs w:val="21"/>
              </w:rPr>
              <w:t>24</w:t>
            </w:r>
          </w:p>
        </w:tc>
        <w:tc>
          <w:tcPr>
            <w:tcW w:w="1785" w:type="dxa"/>
            <w:tcBorders>
              <w:top w:val="single" w:color="auto" w:sz="4" w:space="0"/>
              <w:left w:val="single" w:color="auto" w:sz="4" w:space="0"/>
              <w:bottom w:val="single" w:color="auto" w:sz="4" w:space="0"/>
              <w:right w:val="single" w:color="auto" w:sz="4" w:space="0"/>
            </w:tcBorders>
            <w:vAlign w:val="center"/>
          </w:tcPr>
          <w:p w14:paraId="4EB103AC">
            <w:pPr>
              <w:ind w:right="15" w:rightChars="7"/>
              <w:rPr>
                <w:rFonts w:ascii="宋体" w:hAnsi="宋体" w:cs="宋体"/>
                <w:szCs w:val="21"/>
              </w:rPr>
            </w:pPr>
            <w:r>
              <w:rPr>
                <w:rFonts w:hint="eastAsia" w:ascii="宋体" w:hAnsi="宋体" w:cs="宋体"/>
                <w:szCs w:val="21"/>
              </w:rPr>
              <w:t>螺丝刀</w:t>
            </w:r>
          </w:p>
        </w:tc>
        <w:tc>
          <w:tcPr>
            <w:tcW w:w="1060" w:type="dxa"/>
            <w:tcBorders>
              <w:top w:val="single" w:color="auto" w:sz="4" w:space="0"/>
              <w:left w:val="single" w:color="auto" w:sz="4" w:space="0"/>
              <w:bottom w:val="single" w:color="auto" w:sz="4" w:space="0"/>
              <w:right w:val="single" w:color="auto" w:sz="4" w:space="0"/>
            </w:tcBorders>
            <w:vAlign w:val="center"/>
          </w:tcPr>
          <w:p w14:paraId="4F8B3BF6">
            <w:pPr>
              <w:tabs>
                <w:tab w:val="left" w:pos="4102"/>
                <w:tab w:val="right" w:pos="4402"/>
              </w:tabs>
              <w:jc w:val="center"/>
              <w:rPr>
                <w:rFonts w:ascii="宋体" w:hAnsi="宋体" w:cs="宋体"/>
                <w:szCs w:val="21"/>
              </w:rPr>
            </w:pPr>
          </w:p>
        </w:tc>
        <w:tc>
          <w:tcPr>
            <w:tcW w:w="1706" w:type="dxa"/>
            <w:tcBorders>
              <w:top w:val="single" w:color="auto" w:sz="4" w:space="0"/>
              <w:left w:val="single" w:color="auto" w:sz="4" w:space="0"/>
              <w:bottom w:val="single" w:color="auto" w:sz="4" w:space="0"/>
              <w:right w:val="single" w:color="auto" w:sz="4" w:space="0"/>
            </w:tcBorders>
            <w:vAlign w:val="center"/>
          </w:tcPr>
          <w:p w14:paraId="5F913022">
            <w:pPr>
              <w:tabs>
                <w:tab w:val="left" w:pos="4960"/>
                <w:tab w:val="left" w:pos="5247"/>
              </w:tabs>
              <w:ind w:right="15" w:rightChars="7"/>
              <w:jc w:val="center"/>
              <w:rPr>
                <w:rFonts w:ascii="宋体" w:hAnsi="宋体" w:cs="宋体"/>
                <w:szCs w:val="21"/>
              </w:rPr>
            </w:pPr>
            <w:r>
              <w:rPr>
                <w:rFonts w:hint="eastAsia" w:ascii="宋体" w:hAnsi="宋体" w:cs="宋体"/>
                <w:szCs w:val="21"/>
              </w:rPr>
              <w:t>若干</w:t>
            </w:r>
          </w:p>
        </w:tc>
        <w:tc>
          <w:tcPr>
            <w:tcW w:w="1364" w:type="dxa"/>
            <w:tcBorders>
              <w:top w:val="single" w:color="auto" w:sz="4" w:space="0"/>
              <w:left w:val="single" w:color="auto" w:sz="4" w:space="0"/>
              <w:bottom w:val="single" w:color="auto" w:sz="4" w:space="0"/>
              <w:right w:val="single" w:color="auto" w:sz="4" w:space="0"/>
            </w:tcBorders>
          </w:tcPr>
          <w:p w14:paraId="32F80121">
            <w:pPr>
              <w:jc w:val="center"/>
              <w:rPr>
                <w:rFonts w:ascii="宋体" w:hAnsi="宋体" w:cs="宋体"/>
                <w:bCs/>
                <w:szCs w:val="21"/>
              </w:rPr>
            </w:pPr>
          </w:p>
        </w:tc>
        <w:tc>
          <w:tcPr>
            <w:tcW w:w="1818" w:type="dxa"/>
            <w:tcBorders>
              <w:top w:val="single" w:color="auto" w:sz="4" w:space="0"/>
              <w:left w:val="single" w:color="auto" w:sz="4" w:space="0"/>
              <w:bottom w:val="single" w:color="auto" w:sz="4" w:space="0"/>
              <w:right w:val="single" w:color="auto" w:sz="4" w:space="0"/>
            </w:tcBorders>
            <w:vAlign w:val="center"/>
          </w:tcPr>
          <w:p w14:paraId="4EF093EE">
            <w:pPr>
              <w:jc w:val="center"/>
              <w:rPr>
                <w:rFonts w:ascii="宋体" w:hAnsi="宋体" w:cs="宋体"/>
                <w:bCs/>
                <w:szCs w:val="21"/>
              </w:rPr>
            </w:pPr>
            <w:r>
              <w:rPr>
                <w:rFonts w:hint="eastAsia" w:ascii="宋体" w:hAnsi="宋体" w:cs="宋体"/>
                <w:bCs/>
                <w:szCs w:val="21"/>
              </w:rPr>
              <w:t>满足现场需要</w:t>
            </w:r>
          </w:p>
        </w:tc>
      </w:tr>
      <w:tr w14:paraId="27554A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563" w:type="dxa"/>
            <w:tcBorders>
              <w:top w:val="single" w:color="auto" w:sz="4" w:space="0"/>
              <w:left w:val="single" w:color="auto" w:sz="4" w:space="0"/>
              <w:bottom w:val="single" w:color="auto" w:sz="4" w:space="0"/>
              <w:right w:val="single" w:color="auto" w:sz="4" w:space="0"/>
            </w:tcBorders>
            <w:vAlign w:val="center"/>
          </w:tcPr>
          <w:p w14:paraId="00B9A307">
            <w:pPr>
              <w:jc w:val="center"/>
              <w:rPr>
                <w:rFonts w:ascii="宋体" w:hAnsi="宋体" w:cs="宋体"/>
                <w:bCs/>
                <w:szCs w:val="21"/>
              </w:rPr>
            </w:pPr>
            <w:r>
              <w:rPr>
                <w:rFonts w:hint="eastAsia" w:ascii="宋体" w:hAnsi="宋体" w:cs="宋体"/>
                <w:bCs/>
                <w:szCs w:val="21"/>
              </w:rPr>
              <w:t>25</w:t>
            </w:r>
          </w:p>
        </w:tc>
        <w:tc>
          <w:tcPr>
            <w:tcW w:w="1785" w:type="dxa"/>
            <w:tcBorders>
              <w:top w:val="single" w:color="auto" w:sz="4" w:space="0"/>
              <w:left w:val="single" w:color="auto" w:sz="4" w:space="0"/>
              <w:bottom w:val="single" w:color="auto" w:sz="4" w:space="0"/>
              <w:right w:val="single" w:color="auto" w:sz="4" w:space="0"/>
            </w:tcBorders>
            <w:vAlign w:val="center"/>
          </w:tcPr>
          <w:p w14:paraId="7BC1F8D4">
            <w:pPr>
              <w:ind w:right="15" w:rightChars="7"/>
              <w:rPr>
                <w:rFonts w:ascii="宋体" w:hAnsi="宋体" w:cs="宋体"/>
                <w:szCs w:val="21"/>
              </w:rPr>
            </w:pPr>
            <w:r>
              <w:rPr>
                <w:rFonts w:hint="eastAsia" w:ascii="宋体" w:hAnsi="宋体" w:cs="宋体"/>
                <w:szCs w:val="21"/>
              </w:rPr>
              <w:t>内六角扳手</w:t>
            </w:r>
          </w:p>
        </w:tc>
        <w:tc>
          <w:tcPr>
            <w:tcW w:w="1060" w:type="dxa"/>
            <w:tcBorders>
              <w:top w:val="single" w:color="auto" w:sz="4" w:space="0"/>
              <w:left w:val="single" w:color="auto" w:sz="4" w:space="0"/>
              <w:bottom w:val="single" w:color="auto" w:sz="4" w:space="0"/>
              <w:right w:val="single" w:color="auto" w:sz="4" w:space="0"/>
            </w:tcBorders>
            <w:vAlign w:val="center"/>
          </w:tcPr>
          <w:p w14:paraId="5A4C74BC">
            <w:pPr>
              <w:tabs>
                <w:tab w:val="left" w:pos="4102"/>
                <w:tab w:val="right" w:pos="4402"/>
              </w:tabs>
              <w:jc w:val="center"/>
              <w:rPr>
                <w:rFonts w:ascii="宋体" w:hAnsi="宋体" w:cs="宋体"/>
                <w:szCs w:val="21"/>
              </w:rPr>
            </w:pPr>
          </w:p>
        </w:tc>
        <w:tc>
          <w:tcPr>
            <w:tcW w:w="1706" w:type="dxa"/>
            <w:tcBorders>
              <w:top w:val="single" w:color="auto" w:sz="4" w:space="0"/>
              <w:left w:val="single" w:color="auto" w:sz="4" w:space="0"/>
              <w:bottom w:val="single" w:color="auto" w:sz="4" w:space="0"/>
              <w:right w:val="single" w:color="auto" w:sz="4" w:space="0"/>
            </w:tcBorders>
            <w:vAlign w:val="center"/>
          </w:tcPr>
          <w:p w14:paraId="294F048B">
            <w:pPr>
              <w:tabs>
                <w:tab w:val="left" w:pos="4960"/>
                <w:tab w:val="left" w:pos="5247"/>
              </w:tabs>
              <w:ind w:right="15" w:rightChars="7"/>
              <w:jc w:val="center"/>
              <w:rPr>
                <w:rFonts w:ascii="宋体" w:hAnsi="宋体" w:cs="宋体"/>
                <w:szCs w:val="21"/>
              </w:rPr>
            </w:pPr>
            <w:r>
              <w:rPr>
                <w:rFonts w:hint="eastAsia" w:ascii="宋体" w:hAnsi="宋体" w:cs="宋体"/>
                <w:szCs w:val="21"/>
              </w:rPr>
              <w:t>若干</w:t>
            </w:r>
          </w:p>
        </w:tc>
        <w:tc>
          <w:tcPr>
            <w:tcW w:w="1364" w:type="dxa"/>
            <w:tcBorders>
              <w:top w:val="single" w:color="auto" w:sz="4" w:space="0"/>
              <w:left w:val="single" w:color="auto" w:sz="4" w:space="0"/>
              <w:bottom w:val="single" w:color="auto" w:sz="4" w:space="0"/>
              <w:right w:val="single" w:color="auto" w:sz="4" w:space="0"/>
            </w:tcBorders>
          </w:tcPr>
          <w:p w14:paraId="42A14EE0">
            <w:pPr>
              <w:jc w:val="center"/>
              <w:rPr>
                <w:rFonts w:ascii="宋体" w:hAnsi="宋体" w:cs="宋体"/>
                <w:bCs/>
                <w:szCs w:val="21"/>
              </w:rPr>
            </w:pPr>
          </w:p>
        </w:tc>
        <w:tc>
          <w:tcPr>
            <w:tcW w:w="1818" w:type="dxa"/>
            <w:tcBorders>
              <w:top w:val="single" w:color="auto" w:sz="4" w:space="0"/>
              <w:left w:val="single" w:color="auto" w:sz="4" w:space="0"/>
              <w:bottom w:val="single" w:color="auto" w:sz="4" w:space="0"/>
              <w:right w:val="single" w:color="auto" w:sz="4" w:space="0"/>
            </w:tcBorders>
            <w:vAlign w:val="center"/>
          </w:tcPr>
          <w:p w14:paraId="29713412">
            <w:pPr>
              <w:jc w:val="center"/>
              <w:rPr>
                <w:rFonts w:ascii="宋体" w:hAnsi="宋体" w:cs="宋体"/>
                <w:bCs/>
                <w:szCs w:val="21"/>
              </w:rPr>
            </w:pPr>
            <w:r>
              <w:rPr>
                <w:rFonts w:hint="eastAsia" w:ascii="宋体" w:hAnsi="宋体" w:cs="宋体"/>
                <w:bCs/>
                <w:szCs w:val="21"/>
              </w:rPr>
              <w:t>满足现场需要</w:t>
            </w:r>
          </w:p>
        </w:tc>
      </w:tr>
      <w:tr w14:paraId="3A087F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5" w:hRule="atLeast"/>
          <w:jc w:val="center"/>
        </w:trPr>
        <w:tc>
          <w:tcPr>
            <w:tcW w:w="563" w:type="dxa"/>
            <w:tcBorders>
              <w:top w:val="single" w:color="auto" w:sz="4" w:space="0"/>
              <w:left w:val="single" w:color="auto" w:sz="4" w:space="0"/>
              <w:bottom w:val="single" w:color="auto" w:sz="4" w:space="0"/>
              <w:right w:val="single" w:color="auto" w:sz="4" w:space="0"/>
            </w:tcBorders>
            <w:vAlign w:val="center"/>
          </w:tcPr>
          <w:p w14:paraId="0CFF073D">
            <w:pPr>
              <w:jc w:val="center"/>
              <w:rPr>
                <w:rFonts w:ascii="宋体" w:hAnsi="宋体" w:cs="宋体"/>
                <w:bCs/>
                <w:szCs w:val="21"/>
              </w:rPr>
            </w:pPr>
            <w:r>
              <w:rPr>
                <w:rFonts w:hint="eastAsia" w:ascii="宋体" w:hAnsi="宋体" w:cs="宋体"/>
                <w:bCs/>
                <w:szCs w:val="21"/>
              </w:rPr>
              <w:t>26</w:t>
            </w:r>
          </w:p>
        </w:tc>
        <w:tc>
          <w:tcPr>
            <w:tcW w:w="1785" w:type="dxa"/>
            <w:tcBorders>
              <w:top w:val="single" w:color="auto" w:sz="4" w:space="0"/>
              <w:left w:val="single" w:color="auto" w:sz="4" w:space="0"/>
              <w:bottom w:val="single" w:color="auto" w:sz="4" w:space="0"/>
              <w:right w:val="single" w:color="auto" w:sz="4" w:space="0"/>
            </w:tcBorders>
            <w:vAlign w:val="center"/>
          </w:tcPr>
          <w:p w14:paraId="2F6D53A1">
            <w:pPr>
              <w:ind w:right="15" w:rightChars="7"/>
              <w:rPr>
                <w:rFonts w:ascii="宋体" w:hAnsi="宋体" w:cs="宋体"/>
                <w:szCs w:val="21"/>
              </w:rPr>
            </w:pPr>
            <w:r>
              <w:rPr>
                <w:rFonts w:hint="eastAsia" w:ascii="宋体" w:hAnsi="宋体" w:cs="宋体"/>
                <w:szCs w:val="21"/>
              </w:rPr>
              <w:t>手枪钻</w:t>
            </w:r>
          </w:p>
        </w:tc>
        <w:tc>
          <w:tcPr>
            <w:tcW w:w="1060" w:type="dxa"/>
            <w:tcBorders>
              <w:top w:val="single" w:color="auto" w:sz="4" w:space="0"/>
              <w:left w:val="single" w:color="auto" w:sz="4" w:space="0"/>
              <w:bottom w:val="single" w:color="auto" w:sz="4" w:space="0"/>
              <w:right w:val="single" w:color="auto" w:sz="4" w:space="0"/>
            </w:tcBorders>
            <w:vAlign w:val="center"/>
          </w:tcPr>
          <w:p w14:paraId="3ADA5C89">
            <w:pPr>
              <w:tabs>
                <w:tab w:val="left" w:pos="4102"/>
                <w:tab w:val="right" w:pos="4402"/>
              </w:tabs>
              <w:jc w:val="center"/>
              <w:rPr>
                <w:rFonts w:ascii="宋体" w:hAnsi="宋体" w:cs="宋体"/>
                <w:szCs w:val="21"/>
              </w:rPr>
            </w:pPr>
          </w:p>
        </w:tc>
        <w:tc>
          <w:tcPr>
            <w:tcW w:w="1706" w:type="dxa"/>
            <w:tcBorders>
              <w:top w:val="single" w:color="auto" w:sz="4" w:space="0"/>
              <w:left w:val="single" w:color="auto" w:sz="4" w:space="0"/>
              <w:bottom w:val="single" w:color="auto" w:sz="4" w:space="0"/>
              <w:right w:val="single" w:color="auto" w:sz="4" w:space="0"/>
            </w:tcBorders>
            <w:vAlign w:val="center"/>
          </w:tcPr>
          <w:p w14:paraId="78C6DF01">
            <w:pPr>
              <w:tabs>
                <w:tab w:val="left" w:pos="4960"/>
                <w:tab w:val="left" w:pos="5247"/>
              </w:tabs>
              <w:ind w:right="15" w:rightChars="7"/>
              <w:jc w:val="center"/>
              <w:rPr>
                <w:rFonts w:ascii="宋体" w:hAnsi="宋体" w:cs="宋体"/>
                <w:szCs w:val="21"/>
              </w:rPr>
            </w:pPr>
            <w:r>
              <w:rPr>
                <w:rFonts w:hint="eastAsia" w:ascii="宋体" w:hAnsi="宋体" w:cs="宋体"/>
                <w:szCs w:val="21"/>
              </w:rPr>
              <w:t>2台</w:t>
            </w:r>
          </w:p>
        </w:tc>
        <w:tc>
          <w:tcPr>
            <w:tcW w:w="1364" w:type="dxa"/>
            <w:tcBorders>
              <w:top w:val="single" w:color="auto" w:sz="4" w:space="0"/>
              <w:left w:val="single" w:color="auto" w:sz="4" w:space="0"/>
              <w:bottom w:val="single" w:color="auto" w:sz="4" w:space="0"/>
              <w:right w:val="single" w:color="auto" w:sz="4" w:space="0"/>
            </w:tcBorders>
          </w:tcPr>
          <w:p w14:paraId="6A1A64C4">
            <w:pPr>
              <w:jc w:val="center"/>
              <w:rPr>
                <w:rFonts w:ascii="宋体" w:hAnsi="宋体" w:cs="宋体"/>
                <w:bCs/>
                <w:szCs w:val="21"/>
              </w:rPr>
            </w:pPr>
          </w:p>
        </w:tc>
        <w:tc>
          <w:tcPr>
            <w:tcW w:w="1818" w:type="dxa"/>
            <w:tcBorders>
              <w:top w:val="single" w:color="auto" w:sz="4" w:space="0"/>
              <w:left w:val="single" w:color="auto" w:sz="4" w:space="0"/>
              <w:bottom w:val="single" w:color="auto" w:sz="4" w:space="0"/>
              <w:right w:val="single" w:color="auto" w:sz="4" w:space="0"/>
            </w:tcBorders>
            <w:vAlign w:val="center"/>
          </w:tcPr>
          <w:p w14:paraId="56EAAC42">
            <w:pPr>
              <w:jc w:val="center"/>
              <w:rPr>
                <w:rFonts w:ascii="宋体" w:hAnsi="宋体" w:cs="宋体"/>
                <w:bCs/>
                <w:szCs w:val="21"/>
              </w:rPr>
            </w:pPr>
          </w:p>
        </w:tc>
      </w:tr>
      <w:tr w14:paraId="231993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3" w:hRule="atLeast"/>
          <w:jc w:val="center"/>
        </w:trPr>
        <w:tc>
          <w:tcPr>
            <w:tcW w:w="563" w:type="dxa"/>
            <w:tcBorders>
              <w:top w:val="single" w:color="auto" w:sz="4" w:space="0"/>
              <w:left w:val="single" w:color="auto" w:sz="4" w:space="0"/>
              <w:bottom w:val="single" w:color="auto" w:sz="4" w:space="0"/>
              <w:right w:val="single" w:color="auto" w:sz="4" w:space="0"/>
            </w:tcBorders>
            <w:vAlign w:val="center"/>
          </w:tcPr>
          <w:p w14:paraId="687B6BA8">
            <w:pPr>
              <w:jc w:val="center"/>
              <w:rPr>
                <w:rFonts w:ascii="宋体" w:hAnsi="宋体" w:cs="宋体"/>
                <w:bCs/>
                <w:szCs w:val="21"/>
              </w:rPr>
            </w:pPr>
            <w:r>
              <w:rPr>
                <w:rFonts w:hint="eastAsia" w:ascii="宋体" w:hAnsi="宋体" w:cs="宋体"/>
                <w:bCs/>
                <w:szCs w:val="21"/>
              </w:rPr>
              <w:t>27</w:t>
            </w:r>
          </w:p>
        </w:tc>
        <w:tc>
          <w:tcPr>
            <w:tcW w:w="1785" w:type="dxa"/>
            <w:tcBorders>
              <w:top w:val="single" w:color="auto" w:sz="4" w:space="0"/>
              <w:left w:val="single" w:color="auto" w:sz="4" w:space="0"/>
              <w:bottom w:val="single" w:color="auto" w:sz="4" w:space="0"/>
              <w:right w:val="single" w:color="auto" w:sz="4" w:space="0"/>
            </w:tcBorders>
            <w:vAlign w:val="center"/>
          </w:tcPr>
          <w:p w14:paraId="5FAE0961">
            <w:pPr>
              <w:ind w:right="15" w:rightChars="7"/>
              <w:rPr>
                <w:rFonts w:ascii="宋体" w:hAnsi="宋体" w:cs="宋体"/>
                <w:szCs w:val="21"/>
              </w:rPr>
            </w:pPr>
            <w:r>
              <w:rPr>
                <w:rFonts w:hint="eastAsia" w:ascii="宋体" w:hAnsi="宋体" w:cs="宋体"/>
                <w:szCs w:val="21"/>
              </w:rPr>
              <w:t>角磨机</w:t>
            </w:r>
          </w:p>
        </w:tc>
        <w:tc>
          <w:tcPr>
            <w:tcW w:w="1060" w:type="dxa"/>
            <w:tcBorders>
              <w:top w:val="single" w:color="auto" w:sz="4" w:space="0"/>
              <w:left w:val="single" w:color="auto" w:sz="4" w:space="0"/>
              <w:bottom w:val="single" w:color="auto" w:sz="4" w:space="0"/>
              <w:right w:val="single" w:color="auto" w:sz="4" w:space="0"/>
            </w:tcBorders>
            <w:vAlign w:val="center"/>
          </w:tcPr>
          <w:p w14:paraId="03514566">
            <w:pPr>
              <w:tabs>
                <w:tab w:val="left" w:pos="4102"/>
                <w:tab w:val="right" w:pos="4402"/>
              </w:tabs>
              <w:jc w:val="center"/>
              <w:rPr>
                <w:rFonts w:ascii="宋体" w:hAnsi="宋体" w:cs="宋体"/>
                <w:szCs w:val="21"/>
              </w:rPr>
            </w:pPr>
          </w:p>
        </w:tc>
        <w:tc>
          <w:tcPr>
            <w:tcW w:w="1706" w:type="dxa"/>
            <w:tcBorders>
              <w:top w:val="single" w:color="auto" w:sz="4" w:space="0"/>
              <w:left w:val="single" w:color="auto" w:sz="4" w:space="0"/>
              <w:bottom w:val="single" w:color="auto" w:sz="4" w:space="0"/>
              <w:right w:val="single" w:color="auto" w:sz="4" w:space="0"/>
            </w:tcBorders>
            <w:vAlign w:val="center"/>
          </w:tcPr>
          <w:p w14:paraId="3328AB41">
            <w:pPr>
              <w:tabs>
                <w:tab w:val="left" w:pos="4960"/>
                <w:tab w:val="left" w:pos="5247"/>
              </w:tabs>
              <w:ind w:right="15" w:rightChars="7"/>
              <w:jc w:val="center"/>
              <w:rPr>
                <w:rFonts w:ascii="宋体" w:hAnsi="宋体" w:cs="宋体"/>
                <w:szCs w:val="21"/>
              </w:rPr>
            </w:pPr>
            <w:r>
              <w:rPr>
                <w:rFonts w:hint="eastAsia" w:ascii="宋体" w:hAnsi="宋体" w:cs="宋体"/>
                <w:szCs w:val="21"/>
                <w:lang w:val="en-US" w:eastAsia="zh-CN"/>
              </w:rPr>
              <w:t>3</w:t>
            </w:r>
            <w:r>
              <w:rPr>
                <w:rFonts w:hint="eastAsia" w:ascii="宋体" w:hAnsi="宋体" w:cs="宋体"/>
                <w:szCs w:val="21"/>
              </w:rPr>
              <w:t>台</w:t>
            </w:r>
          </w:p>
        </w:tc>
        <w:tc>
          <w:tcPr>
            <w:tcW w:w="1364" w:type="dxa"/>
            <w:tcBorders>
              <w:top w:val="single" w:color="auto" w:sz="4" w:space="0"/>
              <w:left w:val="single" w:color="auto" w:sz="4" w:space="0"/>
              <w:bottom w:val="single" w:color="auto" w:sz="4" w:space="0"/>
              <w:right w:val="single" w:color="auto" w:sz="4" w:space="0"/>
            </w:tcBorders>
          </w:tcPr>
          <w:p w14:paraId="4D9A296D">
            <w:pPr>
              <w:jc w:val="center"/>
              <w:rPr>
                <w:rFonts w:ascii="宋体" w:hAnsi="宋体" w:cs="宋体"/>
                <w:bCs/>
                <w:szCs w:val="21"/>
              </w:rPr>
            </w:pPr>
          </w:p>
        </w:tc>
        <w:tc>
          <w:tcPr>
            <w:tcW w:w="1818" w:type="dxa"/>
            <w:tcBorders>
              <w:top w:val="single" w:color="auto" w:sz="4" w:space="0"/>
              <w:left w:val="single" w:color="auto" w:sz="4" w:space="0"/>
              <w:bottom w:val="single" w:color="auto" w:sz="4" w:space="0"/>
              <w:right w:val="single" w:color="auto" w:sz="4" w:space="0"/>
            </w:tcBorders>
            <w:vAlign w:val="center"/>
          </w:tcPr>
          <w:p w14:paraId="20EE2BAE">
            <w:pPr>
              <w:jc w:val="center"/>
              <w:rPr>
                <w:rFonts w:ascii="宋体" w:hAnsi="宋体" w:cs="宋体"/>
                <w:bCs/>
                <w:szCs w:val="21"/>
              </w:rPr>
            </w:pPr>
          </w:p>
        </w:tc>
      </w:tr>
      <w:tr w14:paraId="74099E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jc w:val="center"/>
        </w:trPr>
        <w:tc>
          <w:tcPr>
            <w:tcW w:w="563" w:type="dxa"/>
            <w:tcBorders>
              <w:top w:val="single" w:color="auto" w:sz="4" w:space="0"/>
              <w:left w:val="single" w:color="auto" w:sz="4" w:space="0"/>
              <w:bottom w:val="single" w:color="auto" w:sz="4" w:space="0"/>
              <w:right w:val="single" w:color="auto" w:sz="4" w:space="0"/>
            </w:tcBorders>
            <w:vAlign w:val="center"/>
          </w:tcPr>
          <w:p w14:paraId="6ACF2AF0">
            <w:pPr>
              <w:jc w:val="center"/>
              <w:rPr>
                <w:rFonts w:ascii="宋体" w:hAnsi="宋体" w:cs="宋体"/>
                <w:bCs/>
                <w:szCs w:val="21"/>
              </w:rPr>
            </w:pPr>
            <w:r>
              <w:rPr>
                <w:rFonts w:hint="eastAsia" w:ascii="宋体" w:hAnsi="宋体" w:cs="宋体"/>
                <w:bCs/>
                <w:szCs w:val="21"/>
              </w:rPr>
              <w:t>28</w:t>
            </w:r>
          </w:p>
        </w:tc>
        <w:tc>
          <w:tcPr>
            <w:tcW w:w="1785" w:type="dxa"/>
            <w:tcBorders>
              <w:top w:val="single" w:color="auto" w:sz="4" w:space="0"/>
              <w:left w:val="single" w:color="auto" w:sz="4" w:space="0"/>
              <w:bottom w:val="single" w:color="auto" w:sz="4" w:space="0"/>
              <w:right w:val="single" w:color="auto" w:sz="4" w:space="0"/>
            </w:tcBorders>
            <w:vAlign w:val="center"/>
          </w:tcPr>
          <w:p w14:paraId="0BF187A4">
            <w:pPr>
              <w:ind w:right="15" w:rightChars="7"/>
              <w:rPr>
                <w:rFonts w:ascii="宋体" w:hAnsi="宋体" w:cs="宋体"/>
                <w:szCs w:val="21"/>
              </w:rPr>
            </w:pPr>
            <w:r>
              <w:rPr>
                <w:rFonts w:hint="eastAsia" w:ascii="宋体" w:hAnsi="宋体" w:cs="宋体"/>
                <w:szCs w:val="21"/>
              </w:rPr>
              <w:t>磁力电钻</w:t>
            </w:r>
          </w:p>
        </w:tc>
        <w:tc>
          <w:tcPr>
            <w:tcW w:w="1060" w:type="dxa"/>
            <w:tcBorders>
              <w:top w:val="single" w:color="auto" w:sz="4" w:space="0"/>
              <w:left w:val="single" w:color="auto" w:sz="4" w:space="0"/>
              <w:bottom w:val="single" w:color="auto" w:sz="4" w:space="0"/>
              <w:right w:val="single" w:color="auto" w:sz="4" w:space="0"/>
            </w:tcBorders>
            <w:vAlign w:val="center"/>
          </w:tcPr>
          <w:p w14:paraId="681CE662">
            <w:pPr>
              <w:tabs>
                <w:tab w:val="left" w:pos="4102"/>
                <w:tab w:val="right" w:pos="4402"/>
              </w:tabs>
              <w:jc w:val="center"/>
              <w:rPr>
                <w:rFonts w:ascii="宋体" w:hAnsi="宋体" w:cs="宋体"/>
                <w:szCs w:val="21"/>
              </w:rPr>
            </w:pPr>
          </w:p>
        </w:tc>
        <w:tc>
          <w:tcPr>
            <w:tcW w:w="1706" w:type="dxa"/>
            <w:tcBorders>
              <w:top w:val="single" w:color="auto" w:sz="4" w:space="0"/>
              <w:left w:val="single" w:color="auto" w:sz="4" w:space="0"/>
              <w:bottom w:val="single" w:color="auto" w:sz="4" w:space="0"/>
              <w:right w:val="single" w:color="auto" w:sz="4" w:space="0"/>
            </w:tcBorders>
            <w:vAlign w:val="center"/>
          </w:tcPr>
          <w:p w14:paraId="7CC45539">
            <w:pPr>
              <w:tabs>
                <w:tab w:val="left" w:pos="4960"/>
                <w:tab w:val="left" w:pos="5247"/>
              </w:tabs>
              <w:ind w:right="15" w:rightChars="7"/>
              <w:jc w:val="center"/>
              <w:rPr>
                <w:rFonts w:ascii="宋体" w:hAnsi="宋体" w:cs="宋体"/>
                <w:szCs w:val="21"/>
              </w:rPr>
            </w:pPr>
            <w:r>
              <w:rPr>
                <w:rFonts w:hint="eastAsia" w:ascii="宋体" w:hAnsi="宋体" w:cs="宋体"/>
                <w:szCs w:val="21"/>
              </w:rPr>
              <w:t>1台</w:t>
            </w:r>
          </w:p>
        </w:tc>
        <w:tc>
          <w:tcPr>
            <w:tcW w:w="1364" w:type="dxa"/>
            <w:tcBorders>
              <w:top w:val="single" w:color="auto" w:sz="4" w:space="0"/>
              <w:left w:val="single" w:color="auto" w:sz="4" w:space="0"/>
              <w:bottom w:val="single" w:color="auto" w:sz="4" w:space="0"/>
              <w:right w:val="single" w:color="auto" w:sz="4" w:space="0"/>
            </w:tcBorders>
          </w:tcPr>
          <w:p w14:paraId="1C84C95F">
            <w:pPr>
              <w:jc w:val="center"/>
              <w:rPr>
                <w:rFonts w:ascii="宋体" w:hAnsi="宋体" w:cs="宋体"/>
                <w:bCs/>
                <w:szCs w:val="21"/>
              </w:rPr>
            </w:pPr>
          </w:p>
        </w:tc>
        <w:tc>
          <w:tcPr>
            <w:tcW w:w="1818" w:type="dxa"/>
            <w:tcBorders>
              <w:top w:val="single" w:color="auto" w:sz="4" w:space="0"/>
              <w:left w:val="single" w:color="auto" w:sz="4" w:space="0"/>
              <w:bottom w:val="single" w:color="auto" w:sz="4" w:space="0"/>
              <w:right w:val="single" w:color="auto" w:sz="4" w:space="0"/>
            </w:tcBorders>
            <w:vAlign w:val="center"/>
          </w:tcPr>
          <w:p w14:paraId="349A92C2">
            <w:pPr>
              <w:jc w:val="center"/>
              <w:rPr>
                <w:rFonts w:ascii="宋体" w:hAnsi="宋体" w:cs="宋体"/>
                <w:bCs/>
                <w:szCs w:val="21"/>
              </w:rPr>
            </w:pPr>
          </w:p>
        </w:tc>
      </w:tr>
      <w:tr w14:paraId="160C89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6" w:hRule="atLeast"/>
          <w:jc w:val="center"/>
        </w:trPr>
        <w:tc>
          <w:tcPr>
            <w:tcW w:w="563" w:type="dxa"/>
            <w:tcBorders>
              <w:top w:val="single" w:color="auto" w:sz="4" w:space="0"/>
              <w:left w:val="single" w:color="auto" w:sz="4" w:space="0"/>
              <w:bottom w:val="single" w:color="auto" w:sz="4" w:space="0"/>
              <w:right w:val="single" w:color="auto" w:sz="4" w:space="0"/>
            </w:tcBorders>
            <w:vAlign w:val="center"/>
          </w:tcPr>
          <w:p w14:paraId="63F20433">
            <w:pPr>
              <w:jc w:val="center"/>
              <w:rPr>
                <w:rFonts w:ascii="宋体" w:hAnsi="宋体" w:cs="宋体"/>
                <w:bCs/>
                <w:szCs w:val="21"/>
              </w:rPr>
            </w:pPr>
            <w:r>
              <w:rPr>
                <w:rFonts w:hint="eastAsia" w:ascii="宋体" w:hAnsi="宋体" w:cs="宋体"/>
                <w:bCs/>
                <w:szCs w:val="21"/>
              </w:rPr>
              <w:t>29</w:t>
            </w:r>
          </w:p>
        </w:tc>
        <w:tc>
          <w:tcPr>
            <w:tcW w:w="1785" w:type="dxa"/>
            <w:tcBorders>
              <w:top w:val="single" w:color="auto" w:sz="4" w:space="0"/>
              <w:left w:val="single" w:color="auto" w:sz="4" w:space="0"/>
              <w:bottom w:val="single" w:color="auto" w:sz="4" w:space="0"/>
              <w:right w:val="single" w:color="auto" w:sz="4" w:space="0"/>
            </w:tcBorders>
            <w:vAlign w:val="center"/>
          </w:tcPr>
          <w:p w14:paraId="746B87FE">
            <w:pPr>
              <w:ind w:right="15" w:rightChars="7"/>
              <w:rPr>
                <w:rFonts w:ascii="宋体" w:hAnsi="宋体" w:cs="宋体"/>
                <w:szCs w:val="21"/>
              </w:rPr>
            </w:pPr>
            <w:r>
              <w:rPr>
                <w:rFonts w:hint="eastAsia" w:ascii="宋体" w:hAnsi="宋体" w:cs="宋体"/>
                <w:szCs w:val="21"/>
              </w:rPr>
              <w:t>移动电源盘</w:t>
            </w:r>
          </w:p>
        </w:tc>
        <w:tc>
          <w:tcPr>
            <w:tcW w:w="1060" w:type="dxa"/>
            <w:tcBorders>
              <w:top w:val="single" w:color="auto" w:sz="4" w:space="0"/>
              <w:left w:val="single" w:color="auto" w:sz="4" w:space="0"/>
              <w:bottom w:val="single" w:color="auto" w:sz="4" w:space="0"/>
              <w:right w:val="single" w:color="auto" w:sz="4" w:space="0"/>
            </w:tcBorders>
            <w:vAlign w:val="center"/>
          </w:tcPr>
          <w:p w14:paraId="3FDB7D52">
            <w:pPr>
              <w:tabs>
                <w:tab w:val="left" w:pos="4102"/>
                <w:tab w:val="right" w:pos="4402"/>
              </w:tabs>
              <w:jc w:val="center"/>
              <w:rPr>
                <w:rFonts w:ascii="宋体" w:hAnsi="宋体" w:cs="宋体"/>
                <w:szCs w:val="21"/>
              </w:rPr>
            </w:pPr>
          </w:p>
        </w:tc>
        <w:tc>
          <w:tcPr>
            <w:tcW w:w="1706" w:type="dxa"/>
            <w:tcBorders>
              <w:top w:val="single" w:color="auto" w:sz="4" w:space="0"/>
              <w:left w:val="single" w:color="auto" w:sz="4" w:space="0"/>
              <w:bottom w:val="single" w:color="auto" w:sz="4" w:space="0"/>
              <w:right w:val="single" w:color="auto" w:sz="4" w:space="0"/>
            </w:tcBorders>
            <w:vAlign w:val="center"/>
          </w:tcPr>
          <w:p w14:paraId="1A1026AC">
            <w:pPr>
              <w:tabs>
                <w:tab w:val="left" w:pos="4960"/>
                <w:tab w:val="left" w:pos="5247"/>
              </w:tabs>
              <w:ind w:right="15" w:rightChars="7"/>
              <w:jc w:val="center"/>
              <w:rPr>
                <w:rFonts w:ascii="宋体" w:hAnsi="宋体" w:cs="宋体"/>
                <w:szCs w:val="21"/>
              </w:rPr>
            </w:pPr>
            <w:r>
              <w:rPr>
                <w:rFonts w:hint="eastAsia" w:ascii="宋体" w:hAnsi="宋体" w:cs="宋体"/>
                <w:szCs w:val="21"/>
                <w:lang w:val="en-US" w:eastAsia="zh-CN"/>
              </w:rPr>
              <w:t>3</w:t>
            </w:r>
            <w:r>
              <w:rPr>
                <w:rFonts w:hint="eastAsia" w:ascii="宋体" w:hAnsi="宋体" w:cs="宋体"/>
                <w:szCs w:val="21"/>
              </w:rPr>
              <w:t>套</w:t>
            </w:r>
          </w:p>
        </w:tc>
        <w:tc>
          <w:tcPr>
            <w:tcW w:w="1364" w:type="dxa"/>
            <w:tcBorders>
              <w:top w:val="single" w:color="auto" w:sz="4" w:space="0"/>
              <w:left w:val="single" w:color="auto" w:sz="4" w:space="0"/>
              <w:bottom w:val="single" w:color="auto" w:sz="4" w:space="0"/>
              <w:right w:val="single" w:color="auto" w:sz="4" w:space="0"/>
            </w:tcBorders>
          </w:tcPr>
          <w:p w14:paraId="7E2A4440">
            <w:pPr>
              <w:jc w:val="center"/>
              <w:rPr>
                <w:rFonts w:ascii="宋体" w:hAnsi="宋体" w:cs="宋体"/>
                <w:bCs/>
                <w:szCs w:val="21"/>
              </w:rPr>
            </w:pPr>
          </w:p>
        </w:tc>
        <w:tc>
          <w:tcPr>
            <w:tcW w:w="1818" w:type="dxa"/>
            <w:tcBorders>
              <w:top w:val="single" w:color="auto" w:sz="4" w:space="0"/>
              <w:left w:val="single" w:color="auto" w:sz="4" w:space="0"/>
              <w:bottom w:val="single" w:color="auto" w:sz="4" w:space="0"/>
              <w:right w:val="single" w:color="auto" w:sz="4" w:space="0"/>
            </w:tcBorders>
            <w:vAlign w:val="center"/>
          </w:tcPr>
          <w:p w14:paraId="23798EAB">
            <w:pPr>
              <w:jc w:val="center"/>
              <w:rPr>
                <w:rFonts w:ascii="宋体" w:hAnsi="宋体" w:cs="宋体"/>
                <w:bCs/>
                <w:szCs w:val="21"/>
              </w:rPr>
            </w:pPr>
          </w:p>
        </w:tc>
      </w:tr>
      <w:tr w14:paraId="712E12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63" w:type="dxa"/>
            <w:tcBorders>
              <w:top w:val="single" w:color="auto" w:sz="4" w:space="0"/>
              <w:left w:val="single" w:color="auto" w:sz="4" w:space="0"/>
              <w:bottom w:val="single" w:color="auto" w:sz="4" w:space="0"/>
              <w:right w:val="single" w:color="auto" w:sz="4" w:space="0"/>
            </w:tcBorders>
            <w:vAlign w:val="center"/>
          </w:tcPr>
          <w:p w14:paraId="154E6A92">
            <w:pPr>
              <w:jc w:val="center"/>
              <w:rPr>
                <w:rFonts w:ascii="宋体" w:hAnsi="宋体" w:cs="宋体"/>
                <w:bCs/>
                <w:szCs w:val="21"/>
              </w:rPr>
            </w:pPr>
            <w:r>
              <w:rPr>
                <w:rFonts w:hint="eastAsia"/>
                <w:bCs/>
                <w:szCs w:val="21"/>
              </w:rPr>
              <w:t>30</w:t>
            </w:r>
          </w:p>
        </w:tc>
        <w:tc>
          <w:tcPr>
            <w:tcW w:w="1785" w:type="dxa"/>
            <w:tcBorders>
              <w:top w:val="single" w:color="auto" w:sz="4" w:space="0"/>
              <w:left w:val="single" w:color="auto" w:sz="4" w:space="0"/>
              <w:bottom w:val="single" w:color="auto" w:sz="4" w:space="0"/>
              <w:right w:val="single" w:color="auto" w:sz="4" w:space="0"/>
            </w:tcBorders>
            <w:vAlign w:val="center"/>
          </w:tcPr>
          <w:p w14:paraId="7D957D20">
            <w:pPr>
              <w:ind w:right="15" w:rightChars="7"/>
              <w:rPr>
                <w:rFonts w:ascii="宋体" w:hAnsi="宋体" w:cs="宋体"/>
                <w:szCs w:val="21"/>
              </w:rPr>
            </w:pPr>
            <w:r>
              <w:rPr>
                <w:rFonts w:hint="eastAsia"/>
                <w:szCs w:val="21"/>
              </w:rPr>
              <w:t>脚手架管件及架管、跳板等</w:t>
            </w:r>
          </w:p>
        </w:tc>
        <w:tc>
          <w:tcPr>
            <w:tcW w:w="1060" w:type="dxa"/>
            <w:tcBorders>
              <w:top w:val="single" w:color="auto" w:sz="4" w:space="0"/>
              <w:left w:val="single" w:color="auto" w:sz="4" w:space="0"/>
              <w:bottom w:val="single" w:color="auto" w:sz="4" w:space="0"/>
              <w:right w:val="single" w:color="auto" w:sz="4" w:space="0"/>
            </w:tcBorders>
            <w:vAlign w:val="center"/>
          </w:tcPr>
          <w:p w14:paraId="3534277D">
            <w:pPr>
              <w:tabs>
                <w:tab w:val="left" w:pos="4102"/>
                <w:tab w:val="right" w:pos="4402"/>
              </w:tabs>
              <w:jc w:val="center"/>
              <w:rPr>
                <w:rFonts w:ascii="宋体" w:hAnsi="宋体" w:cs="宋体"/>
                <w:szCs w:val="21"/>
              </w:rPr>
            </w:pPr>
          </w:p>
        </w:tc>
        <w:tc>
          <w:tcPr>
            <w:tcW w:w="1706" w:type="dxa"/>
            <w:tcBorders>
              <w:top w:val="single" w:color="auto" w:sz="4" w:space="0"/>
              <w:left w:val="single" w:color="auto" w:sz="4" w:space="0"/>
              <w:bottom w:val="single" w:color="auto" w:sz="4" w:space="0"/>
              <w:right w:val="single" w:color="auto" w:sz="4" w:space="0"/>
            </w:tcBorders>
            <w:vAlign w:val="center"/>
          </w:tcPr>
          <w:p w14:paraId="2AD95D65">
            <w:pPr>
              <w:tabs>
                <w:tab w:val="left" w:pos="4960"/>
                <w:tab w:val="left" w:pos="5247"/>
              </w:tabs>
              <w:ind w:right="15" w:rightChars="7"/>
              <w:jc w:val="center"/>
              <w:rPr>
                <w:rFonts w:ascii="宋体" w:hAnsi="宋体" w:cs="宋体"/>
                <w:szCs w:val="21"/>
              </w:rPr>
            </w:pPr>
            <w:r>
              <w:rPr>
                <w:rFonts w:hint="eastAsia"/>
                <w:szCs w:val="21"/>
              </w:rPr>
              <w:t>若干</w:t>
            </w:r>
          </w:p>
        </w:tc>
        <w:tc>
          <w:tcPr>
            <w:tcW w:w="1364" w:type="dxa"/>
            <w:tcBorders>
              <w:top w:val="single" w:color="auto" w:sz="4" w:space="0"/>
              <w:left w:val="single" w:color="auto" w:sz="4" w:space="0"/>
              <w:bottom w:val="single" w:color="auto" w:sz="4" w:space="0"/>
              <w:right w:val="single" w:color="auto" w:sz="4" w:space="0"/>
            </w:tcBorders>
          </w:tcPr>
          <w:p w14:paraId="0D63A6A1">
            <w:pPr>
              <w:jc w:val="center"/>
              <w:rPr>
                <w:rFonts w:ascii="宋体" w:hAnsi="宋体" w:cs="宋体"/>
                <w:bCs/>
                <w:szCs w:val="21"/>
              </w:rPr>
            </w:pPr>
          </w:p>
        </w:tc>
        <w:tc>
          <w:tcPr>
            <w:tcW w:w="1818" w:type="dxa"/>
            <w:tcBorders>
              <w:top w:val="single" w:color="auto" w:sz="4" w:space="0"/>
              <w:left w:val="single" w:color="auto" w:sz="4" w:space="0"/>
              <w:bottom w:val="single" w:color="auto" w:sz="4" w:space="0"/>
              <w:right w:val="single" w:color="auto" w:sz="4" w:space="0"/>
            </w:tcBorders>
            <w:vAlign w:val="center"/>
          </w:tcPr>
          <w:p w14:paraId="5E50AD10">
            <w:pPr>
              <w:jc w:val="center"/>
              <w:rPr>
                <w:rFonts w:ascii="宋体" w:hAnsi="宋体" w:cs="宋体"/>
                <w:bCs/>
                <w:szCs w:val="21"/>
              </w:rPr>
            </w:pPr>
            <w:r>
              <w:rPr>
                <w:rFonts w:hint="eastAsia"/>
                <w:bCs/>
                <w:szCs w:val="21"/>
              </w:rPr>
              <w:t>满足现场要求，跳板材质须为钢制。</w:t>
            </w:r>
          </w:p>
        </w:tc>
      </w:tr>
      <w:tr w14:paraId="7177FE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63" w:type="dxa"/>
            <w:tcBorders>
              <w:top w:val="single" w:color="auto" w:sz="4" w:space="0"/>
              <w:left w:val="single" w:color="auto" w:sz="4" w:space="0"/>
              <w:bottom w:val="single" w:color="auto" w:sz="4" w:space="0"/>
              <w:right w:val="single" w:color="auto" w:sz="4" w:space="0"/>
            </w:tcBorders>
            <w:vAlign w:val="center"/>
          </w:tcPr>
          <w:p w14:paraId="0BD9E6A6">
            <w:pPr>
              <w:jc w:val="center"/>
              <w:rPr>
                <w:rFonts w:ascii="宋体" w:hAnsi="宋体" w:cs="宋体"/>
                <w:bCs/>
                <w:szCs w:val="21"/>
              </w:rPr>
            </w:pPr>
            <w:r>
              <w:rPr>
                <w:rFonts w:ascii="宋体" w:hAnsi="宋体" w:cs="宋体"/>
                <w:bCs/>
                <w:szCs w:val="21"/>
              </w:rPr>
              <w:t>…</w:t>
            </w:r>
          </w:p>
        </w:tc>
        <w:tc>
          <w:tcPr>
            <w:tcW w:w="1785" w:type="dxa"/>
            <w:tcBorders>
              <w:top w:val="single" w:color="auto" w:sz="4" w:space="0"/>
              <w:left w:val="single" w:color="auto" w:sz="4" w:space="0"/>
              <w:bottom w:val="single" w:color="auto" w:sz="4" w:space="0"/>
              <w:right w:val="single" w:color="auto" w:sz="4" w:space="0"/>
            </w:tcBorders>
            <w:vAlign w:val="center"/>
          </w:tcPr>
          <w:p w14:paraId="115CF941">
            <w:pPr>
              <w:ind w:right="15" w:rightChars="7"/>
              <w:rPr>
                <w:rFonts w:ascii="宋体" w:hAnsi="宋体" w:cs="宋体"/>
                <w:szCs w:val="21"/>
              </w:rPr>
            </w:pPr>
          </w:p>
        </w:tc>
        <w:tc>
          <w:tcPr>
            <w:tcW w:w="1060" w:type="dxa"/>
            <w:tcBorders>
              <w:top w:val="single" w:color="auto" w:sz="4" w:space="0"/>
              <w:left w:val="single" w:color="auto" w:sz="4" w:space="0"/>
              <w:bottom w:val="single" w:color="auto" w:sz="4" w:space="0"/>
              <w:right w:val="single" w:color="auto" w:sz="4" w:space="0"/>
            </w:tcBorders>
            <w:vAlign w:val="center"/>
          </w:tcPr>
          <w:p w14:paraId="28F46B10">
            <w:pPr>
              <w:tabs>
                <w:tab w:val="left" w:pos="4102"/>
                <w:tab w:val="right" w:pos="4402"/>
              </w:tabs>
              <w:jc w:val="center"/>
              <w:rPr>
                <w:rFonts w:ascii="宋体" w:hAnsi="宋体" w:cs="宋体"/>
                <w:szCs w:val="21"/>
              </w:rPr>
            </w:pPr>
          </w:p>
        </w:tc>
        <w:tc>
          <w:tcPr>
            <w:tcW w:w="1706" w:type="dxa"/>
            <w:tcBorders>
              <w:top w:val="single" w:color="auto" w:sz="4" w:space="0"/>
              <w:left w:val="single" w:color="auto" w:sz="4" w:space="0"/>
              <w:bottom w:val="single" w:color="auto" w:sz="4" w:space="0"/>
              <w:right w:val="single" w:color="auto" w:sz="4" w:space="0"/>
            </w:tcBorders>
            <w:vAlign w:val="center"/>
          </w:tcPr>
          <w:p w14:paraId="4FB90895">
            <w:pPr>
              <w:tabs>
                <w:tab w:val="left" w:pos="4960"/>
                <w:tab w:val="left" w:pos="5247"/>
              </w:tabs>
              <w:ind w:right="15" w:rightChars="7"/>
              <w:jc w:val="center"/>
              <w:rPr>
                <w:rFonts w:ascii="宋体" w:hAnsi="宋体" w:cs="宋体"/>
                <w:szCs w:val="21"/>
              </w:rPr>
            </w:pPr>
          </w:p>
        </w:tc>
        <w:tc>
          <w:tcPr>
            <w:tcW w:w="1364" w:type="dxa"/>
            <w:tcBorders>
              <w:top w:val="single" w:color="auto" w:sz="4" w:space="0"/>
              <w:left w:val="single" w:color="auto" w:sz="4" w:space="0"/>
              <w:bottom w:val="single" w:color="auto" w:sz="4" w:space="0"/>
              <w:right w:val="single" w:color="auto" w:sz="4" w:space="0"/>
            </w:tcBorders>
          </w:tcPr>
          <w:p w14:paraId="42130357">
            <w:pPr>
              <w:jc w:val="center"/>
              <w:rPr>
                <w:rFonts w:ascii="宋体" w:hAnsi="宋体" w:cs="宋体"/>
                <w:bCs/>
                <w:szCs w:val="21"/>
              </w:rPr>
            </w:pPr>
          </w:p>
        </w:tc>
        <w:tc>
          <w:tcPr>
            <w:tcW w:w="1818" w:type="dxa"/>
            <w:tcBorders>
              <w:top w:val="single" w:color="auto" w:sz="4" w:space="0"/>
              <w:left w:val="single" w:color="auto" w:sz="4" w:space="0"/>
              <w:bottom w:val="single" w:color="auto" w:sz="4" w:space="0"/>
              <w:right w:val="single" w:color="auto" w:sz="4" w:space="0"/>
            </w:tcBorders>
            <w:vAlign w:val="center"/>
          </w:tcPr>
          <w:p w14:paraId="2AF76C2A">
            <w:pPr>
              <w:jc w:val="center"/>
              <w:rPr>
                <w:rFonts w:ascii="宋体" w:hAnsi="宋体" w:cs="宋体"/>
                <w:bCs/>
                <w:szCs w:val="21"/>
              </w:rPr>
            </w:pPr>
          </w:p>
        </w:tc>
      </w:tr>
    </w:tbl>
    <w:p w14:paraId="63B098FC">
      <w:pPr>
        <w:pStyle w:val="7"/>
        <w:spacing w:before="156"/>
      </w:pPr>
      <w:r>
        <w:rPr>
          <w:rFonts w:hint="eastAsia"/>
        </w:rPr>
        <w:t>量具</w:t>
      </w:r>
      <w:r>
        <w:rPr>
          <w:rFonts w:hint="eastAsia"/>
          <w:lang w:val="en-US" w:eastAsia="zh-CN"/>
        </w:rPr>
        <w:t>可参考下表</w:t>
      </w:r>
      <w:r>
        <w:rPr>
          <w:rFonts w:hint="eastAsia"/>
        </w:rPr>
        <w:t>清单</w:t>
      </w:r>
      <w:r>
        <w:rPr>
          <w:rFonts w:hint="eastAsia"/>
          <w:lang w:val="en-US" w:eastAsia="zh-CN"/>
        </w:rPr>
        <w:t>配置（最终以投标人满足现场需要为准）</w:t>
      </w:r>
    </w:p>
    <w:tbl>
      <w:tblPr>
        <w:tblStyle w:val="32"/>
        <w:tblW w:w="829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62"/>
        <w:gridCol w:w="1764"/>
        <w:gridCol w:w="1424"/>
        <w:gridCol w:w="1302"/>
        <w:gridCol w:w="1654"/>
        <w:gridCol w:w="1590"/>
      </w:tblGrid>
      <w:tr w14:paraId="69C4A0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blHeader/>
          <w:jc w:val="center"/>
        </w:trPr>
        <w:tc>
          <w:tcPr>
            <w:tcW w:w="562" w:type="dxa"/>
            <w:tcBorders>
              <w:top w:val="single" w:color="auto" w:sz="4" w:space="0"/>
              <w:left w:val="single" w:color="auto" w:sz="4" w:space="0"/>
              <w:bottom w:val="single" w:color="auto" w:sz="4" w:space="0"/>
              <w:right w:val="single" w:color="auto" w:sz="4" w:space="0"/>
            </w:tcBorders>
            <w:vAlign w:val="center"/>
          </w:tcPr>
          <w:p w14:paraId="3CD5E5E6">
            <w:pPr>
              <w:jc w:val="center"/>
              <w:rPr>
                <w:rFonts w:ascii="宋体" w:hAnsi="宋体" w:cs="宋体"/>
                <w:b/>
                <w:bCs/>
                <w:szCs w:val="21"/>
              </w:rPr>
            </w:pPr>
            <w:r>
              <w:rPr>
                <w:rFonts w:hint="eastAsia" w:ascii="宋体" w:hAnsi="宋体" w:cs="宋体"/>
                <w:b/>
                <w:bCs/>
                <w:szCs w:val="21"/>
              </w:rPr>
              <w:t>序</w:t>
            </w:r>
          </w:p>
          <w:p w14:paraId="49E309EE">
            <w:pPr>
              <w:jc w:val="center"/>
              <w:rPr>
                <w:rFonts w:ascii="宋体" w:hAnsi="宋体" w:cs="宋体"/>
                <w:b/>
                <w:bCs/>
                <w:szCs w:val="21"/>
              </w:rPr>
            </w:pPr>
            <w:r>
              <w:rPr>
                <w:rFonts w:hint="eastAsia" w:ascii="宋体" w:hAnsi="宋体" w:cs="宋体"/>
                <w:b/>
                <w:bCs/>
                <w:szCs w:val="21"/>
              </w:rPr>
              <w:t>号</w:t>
            </w:r>
          </w:p>
        </w:tc>
        <w:tc>
          <w:tcPr>
            <w:tcW w:w="1764" w:type="dxa"/>
            <w:tcBorders>
              <w:top w:val="single" w:color="auto" w:sz="4" w:space="0"/>
              <w:left w:val="single" w:color="auto" w:sz="4" w:space="0"/>
              <w:bottom w:val="single" w:color="auto" w:sz="4" w:space="0"/>
              <w:right w:val="single" w:color="auto" w:sz="4" w:space="0"/>
            </w:tcBorders>
            <w:vAlign w:val="center"/>
          </w:tcPr>
          <w:p w14:paraId="523754B4">
            <w:pPr>
              <w:jc w:val="center"/>
              <w:rPr>
                <w:rFonts w:ascii="宋体" w:hAnsi="宋体" w:cs="宋体"/>
                <w:b/>
                <w:bCs/>
                <w:szCs w:val="21"/>
              </w:rPr>
            </w:pPr>
            <w:r>
              <w:rPr>
                <w:rFonts w:hint="eastAsia" w:ascii="宋体" w:hAnsi="宋体" w:cs="宋体"/>
                <w:b/>
                <w:bCs/>
                <w:szCs w:val="21"/>
              </w:rPr>
              <w:t>名称</w:t>
            </w:r>
          </w:p>
        </w:tc>
        <w:tc>
          <w:tcPr>
            <w:tcW w:w="1424" w:type="dxa"/>
            <w:tcBorders>
              <w:top w:val="single" w:color="auto" w:sz="4" w:space="0"/>
              <w:left w:val="single" w:color="auto" w:sz="4" w:space="0"/>
              <w:bottom w:val="single" w:color="auto" w:sz="4" w:space="0"/>
              <w:right w:val="single" w:color="auto" w:sz="4" w:space="0"/>
            </w:tcBorders>
            <w:vAlign w:val="center"/>
          </w:tcPr>
          <w:p w14:paraId="48C3C111">
            <w:pPr>
              <w:jc w:val="center"/>
              <w:rPr>
                <w:rFonts w:ascii="宋体" w:hAnsi="宋体" w:cs="宋体"/>
                <w:b/>
                <w:bCs/>
                <w:szCs w:val="21"/>
              </w:rPr>
            </w:pPr>
            <w:r>
              <w:rPr>
                <w:rFonts w:hint="eastAsia" w:ascii="宋体" w:hAnsi="宋体" w:cs="宋体"/>
                <w:b/>
                <w:bCs/>
                <w:szCs w:val="21"/>
              </w:rPr>
              <w:t>规格型号</w:t>
            </w:r>
          </w:p>
        </w:tc>
        <w:tc>
          <w:tcPr>
            <w:tcW w:w="1302" w:type="dxa"/>
            <w:tcBorders>
              <w:top w:val="single" w:color="auto" w:sz="4" w:space="0"/>
              <w:left w:val="single" w:color="auto" w:sz="4" w:space="0"/>
              <w:bottom w:val="single" w:color="auto" w:sz="4" w:space="0"/>
              <w:right w:val="single" w:color="auto" w:sz="4" w:space="0"/>
            </w:tcBorders>
            <w:vAlign w:val="center"/>
          </w:tcPr>
          <w:p w14:paraId="394AD7B7">
            <w:pPr>
              <w:jc w:val="center"/>
              <w:rPr>
                <w:rFonts w:ascii="宋体" w:hAnsi="宋体" w:cs="宋体"/>
                <w:b/>
                <w:bCs/>
                <w:szCs w:val="21"/>
              </w:rPr>
            </w:pPr>
            <w:r>
              <w:rPr>
                <w:rFonts w:hint="eastAsia" w:ascii="宋体" w:hAnsi="宋体" w:cs="宋体"/>
                <w:b/>
                <w:bCs/>
                <w:szCs w:val="21"/>
              </w:rPr>
              <w:t>招标数量要求</w:t>
            </w:r>
          </w:p>
          <w:p w14:paraId="7033DA4A">
            <w:pPr>
              <w:jc w:val="center"/>
              <w:rPr>
                <w:rFonts w:ascii="宋体" w:hAnsi="宋体" w:cs="宋体"/>
                <w:b/>
                <w:bCs/>
                <w:szCs w:val="21"/>
              </w:rPr>
            </w:pPr>
            <w:r>
              <w:rPr>
                <w:rFonts w:hint="eastAsia" w:ascii="宋体" w:hAnsi="宋体" w:cs="宋体"/>
                <w:b/>
                <w:bCs/>
                <w:szCs w:val="21"/>
              </w:rPr>
              <w:t>(套/台)</w:t>
            </w:r>
          </w:p>
        </w:tc>
        <w:tc>
          <w:tcPr>
            <w:tcW w:w="1654" w:type="dxa"/>
            <w:tcBorders>
              <w:top w:val="single" w:color="auto" w:sz="4" w:space="0"/>
              <w:left w:val="single" w:color="auto" w:sz="4" w:space="0"/>
              <w:bottom w:val="single" w:color="auto" w:sz="4" w:space="0"/>
              <w:right w:val="single" w:color="auto" w:sz="4" w:space="0"/>
            </w:tcBorders>
          </w:tcPr>
          <w:p w14:paraId="6660C43F">
            <w:pPr>
              <w:ind w:firstLine="211" w:firstLineChars="100"/>
              <w:jc w:val="center"/>
              <w:rPr>
                <w:rFonts w:ascii="宋体" w:hAnsi="宋体" w:cs="宋体"/>
                <w:b/>
                <w:bCs/>
                <w:szCs w:val="21"/>
              </w:rPr>
            </w:pPr>
            <w:r>
              <w:rPr>
                <w:rFonts w:hint="eastAsia" w:ascii="宋体" w:hAnsi="宋体" w:cs="宋体"/>
                <w:b/>
                <w:bCs/>
                <w:szCs w:val="21"/>
              </w:rPr>
              <w:t>投标数量</w:t>
            </w:r>
          </w:p>
          <w:p w14:paraId="6C34A0D1">
            <w:pPr>
              <w:ind w:firstLine="211" w:firstLineChars="100"/>
              <w:jc w:val="center"/>
              <w:rPr>
                <w:rFonts w:ascii="宋体" w:hAnsi="宋体" w:cs="宋体"/>
                <w:b/>
                <w:bCs/>
                <w:szCs w:val="21"/>
              </w:rPr>
            </w:pPr>
            <w:r>
              <w:rPr>
                <w:rFonts w:hint="eastAsia" w:ascii="宋体" w:hAnsi="宋体" w:cs="宋体"/>
                <w:b/>
                <w:bCs/>
                <w:szCs w:val="21"/>
              </w:rPr>
              <w:t>(套/台)</w:t>
            </w:r>
          </w:p>
        </w:tc>
        <w:tc>
          <w:tcPr>
            <w:tcW w:w="1590" w:type="dxa"/>
            <w:tcBorders>
              <w:top w:val="single" w:color="auto" w:sz="4" w:space="0"/>
              <w:left w:val="single" w:color="auto" w:sz="4" w:space="0"/>
              <w:bottom w:val="single" w:color="auto" w:sz="4" w:space="0"/>
              <w:right w:val="single" w:color="auto" w:sz="4" w:space="0"/>
            </w:tcBorders>
            <w:vAlign w:val="center"/>
          </w:tcPr>
          <w:p w14:paraId="4A14DB6C">
            <w:pPr>
              <w:ind w:firstLine="211" w:firstLineChars="100"/>
              <w:jc w:val="center"/>
              <w:rPr>
                <w:rFonts w:ascii="宋体" w:hAnsi="宋体" w:cs="宋体"/>
                <w:b/>
                <w:bCs/>
                <w:szCs w:val="21"/>
              </w:rPr>
            </w:pPr>
            <w:r>
              <w:rPr>
                <w:rFonts w:hint="eastAsia" w:ascii="宋体" w:hAnsi="宋体" w:cs="宋体"/>
                <w:b/>
                <w:bCs/>
                <w:szCs w:val="21"/>
              </w:rPr>
              <w:t>备注</w:t>
            </w:r>
          </w:p>
        </w:tc>
      </w:tr>
      <w:tr w14:paraId="7BAB31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62" w:type="dxa"/>
            <w:tcBorders>
              <w:top w:val="single" w:color="auto" w:sz="4" w:space="0"/>
              <w:left w:val="single" w:color="auto" w:sz="4" w:space="0"/>
              <w:bottom w:val="single" w:color="auto" w:sz="4" w:space="0"/>
              <w:right w:val="single" w:color="auto" w:sz="4" w:space="0"/>
            </w:tcBorders>
            <w:vAlign w:val="center"/>
          </w:tcPr>
          <w:p w14:paraId="0C6280AE">
            <w:pPr>
              <w:jc w:val="center"/>
              <w:rPr>
                <w:rFonts w:ascii="宋体" w:hAnsi="宋体" w:cs="宋体"/>
                <w:bCs/>
                <w:szCs w:val="21"/>
              </w:rPr>
            </w:pPr>
            <w:r>
              <w:rPr>
                <w:rFonts w:hint="eastAsia" w:ascii="宋体" w:hAnsi="宋体" w:cs="宋体"/>
                <w:bCs/>
                <w:szCs w:val="21"/>
              </w:rPr>
              <w:t>1</w:t>
            </w:r>
          </w:p>
        </w:tc>
        <w:tc>
          <w:tcPr>
            <w:tcW w:w="1764" w:type="dxa"/>
            <w:tcBorders>
              <w:top w:val="single" w:color="auto" w:sz="4" w:space="0"/>
              <w:left w:val="single" w:color="auto" w:sz="4" w:space="0"/>
              <w:bottom w:val="single" w:color="auto" w:sz="4" w:space="0"/>
              <w:right w:val="single" w:color="auto" w:sz="4" w:space="0"/>
            </w:tcBorders>
            <w:vAlign w:val="center"/>
          </w:tcPr>
          <w:p w14:paraId="5D7BD71F">
            <w:pPr>
              <w:jc w:val="center"/>
              <w:rPr>
                <w:rFonts w:ascii="宋体" w:hAnsi="宋体" w:cs="宋体"/>
                <w:bCs/>
                <w:szCs w:val="21"/>
              </w:rPr>
            </w:pPr>
            <w:r>
              <w:rPr>
                <w:rFonts w:hint="eastAsia" w:ascii="宋体" w:hAnsi="宋体" w:cs="宋体"/>
                <w:bCs/>
                <w:szCs w:val="21"/>
              </w:rPr>
              <w:t>游标卡尺</w:t>
            </w:r>
          </w:p>
        </w:tc>
        <w:tc>
          <w:tcPr>
            <w:tcW w:w="1424" w:type="dxa"/>
            <w:tcBorders>
              <w:top w:val="single" w:color="auto" w:sz="4" w:space="0"/>
              <w:left w:val="single" w:color="auto" w:sz="4" w:space="0"/>
              <w:bottom w:val="single" w:color="auto" w:sz="4" w:space="0"/>
              <w:right w:val="single" w:color="auto" w:sz="4" w:space="0"/>
            </w:tcBorders>
            <w:vAlign w:val="center"/>
          </w:tcPr>
          <w:p w14:paraId="137C6B89">
            <w:pPr>
              <w:tabs>
                <w:tab w:val="left" w:pos="4102"/>
                <w:tab w:val="right" w:pos="4402"/>
              </w:tabs>
              <w:jc w:val="center"/>
              <w:rPr>
                <w:rFonts w:ascii="宋体" w:hAnsi="宋体" w:cs="宋体"/>
                <w:szCs w:val="21"/>
              </w:rPr>
            </w:pPr>
          </w:p>
        </w:tc>
        <w:tc>
          <w:tcPr>
            <w:tcW w:w="1302" w:type="dxa"/>
            <w:tcBorders>
              <w:top w:val="single" w:color="auto" w:sz="4" w:space="0"/>
              <w:left w:val="single" w:color="auto" w:sz="4" w:space="0"/>
              <w:bottom w:val="single" w:color="auto" w:sz="4" w:space="0"/>
              <w:right w:val="single" w:color="auto" w:sz="4" w:space="0"/>
            </w:tcBorders>
            <w:vAlign w:val="center"/>
          </w:tcPr>
          <w:p w14:paraId="40C94F47">
            <w:pPr>
              <w:tabs>
                <w:tab w:val="left" w:pos="4102"/>
                <w:tab w:val="right" w:pos="4402"/>
              </w:tabs>
              <w:jc w:val="center"/>
              <w:rPr>
                <w:rFonts w:ascii="宋体" w:hAnsi="宋体" w:cs="宋体"/>
                <w:szCs w:val="21"/>
              </w:rPr>
            </w:pPr>
            <w:r>
              <w:rPr>
                <w:rFonts w:hint="eastAsia" w:ascii="宋体" w:hAnsi="宋体" w:cs="宋体"/>
                <w:szCs w:val="21"/>
                <w:lang w:val="en-US" w:eastAsia="zh-CN"/>
              </w:rPr>
              <w:t>2</w:t>
            </w:r>
            <w:r>
              <w:rPr>
                <w:rFonts w:hint="eastAsia" w:ascii="宋体" w:hAnsi="宋体" w:cs="宋体"/>
                <w:szCs w:val="21"/>
              </w:rPr>
              <w:t>把</w:t>
            </w:r>
          </w:p>
        </w:tc>
        <w:tc>
          <w:tcPr>
            <w:tcW w:w="1654" w:type="dxa"/>
            <w:tcBorders>
              <w:top w:val="single" w:color="auto" w:sz="4" w:space="0"/>
              <w:left w:val="single" w:color="auto" w:sz="4" w:space="0"/>
              <w:bottom w:val="single" w:color="auto" w:sz="4" w:space="0"/>
              <w:right w:val="single" w:color="auto" w:sz="4" w:space="0"/>
            </w:tcBorders>
          </w:tcPr>
          <w:p w14:paraId="00763F29">
            <w:pPr>
              <w:ind w:firstLine="210" w:firstLineChars="100"/>
              <w:jc w:val="center"/>
              <w:rPr>
                <w:rFonts w:ascii="宋体" w:hAnsi="宋体" w:cs="宋体"/>
                <w:bCs/>
                <w:szCs w:val="21"/>
              </w:rPr>
            </w:pPr>
          </w:p>
        </w:tc>
        <w:tc>
          <w:tcPr>
            <w:tcW w:w="1590" w:type="dxa"/>
            <w:tcBorders>
              <w:top w:val="single" w:color="auto" w:sz="4" w:space="0"/>
              <w:left w:val="single" w:color="auto" w:sz="4" w:space="0"/>
              <w:bottom w:val="single" w:color="auto" w:sz="4" w:space="0"/>
              <w:right w:val="single" w:color="auto" w:sz="4" w:space="0"/>
            </w:tcBorders>
            <w:vAlign w:val="center"/>
          </w:tcPr>
          <w:p w14:paraId="24DFCFD3">
            <w:pPr>
              <w:ind w:firstLine="210" w:firstLineChars="100"/>
              <w:jc w:val="center"/>
              <w:rPr>
                <w:rFonts w:ascii="宋体" w:hAnsi="宋体" w:cs="宋体"/>
                <w:bCs/>
                <w:szCs w:val="21"/>
              </w:rPr>
            </w:pPr>
            <w:r>
              <w:rPr>
                <w:rFonts w:hint="eastAsia" w:ascii="宋体" w:hAnsi="宋体" w:cs="宋体"/>
                <w:bCs/>
                <w:szCs w:val="21"/>
              </w:rPr>
              <w:t>带深度测量功能</w:t>
            </w:r>
          </w:p>
        </w:tc>
      </w:tr>
      <w:tr w14:paraId="6B4890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62" w:type="dxa"/>
            <w:tcBorders>
              <w:top w:val="single" w:color="auto" w:sz="4" w:space="0"/>
              <w:left w:val="single" w:color="auto" w:sz="4" w:space="0"/>
              <w:bottom w:val="single" w:color="auto" w:sz="4" w:space="0"/>
              <w:right w:val="single" w:color="auto" w:sz="4" w:space="0"/>
            </w:tcBorders>
            <w:vAlign w:val="center"/>
          </w:tcPr>
          <w:p w14:paraId="44E2491E">
            <w:pPr>
              <w:jc w:val="center"/>
              <w:rPr>
                <w:rFonts w:ascii="宋体" w:hAnsi="宋体" w:cs="宋体"/>
                <w:bCs/>
                <w:szCs w:val="21"/>
              </w:rPr>
            </w:pPr>
            <w:r>
              <w:rPr>
                <w:rFonts w:hint="eastAsia" w:ascii="宋体" w:hAnsi="宋体" w:cs="宋体"/>
                <w:bCs/>
                <w:szCs w:val="21"/>
              </w:rPr>
              <w:t>2</w:t>
            </w:r>
          </w:p>
        </w:tc>
        <w:tc>
          <w:tcPr>
            <w:tcW w:w="1764" w:type="dxa"/>
            <w:tcBorders>
              <w:top w:val="single" w:color="auto" w:sz="4" w:space="0"/>
              <w:left w:val="single" w:color="auto" w:sz="4" w:space="0"/>
              <w:bottom w:val="single" w:color="auto" w:sz="4" w:space="0"/>
              <w:right w:val="single" w:color="auto" w:sz="4" w:space="0"/>
            </w:tcBorders>
            <w:vAlign w:val="center"/>
          </w:tcPr>
          <w:p w14:paraId="2D08E1BC">
            <w:pPr>
              <w:jc w:val="center"/>
              <w:rPr>
                <w:rFonts w:ascii="宋体" w:hAnsi="宋体" w:cs="宋体"/>
                <w:bCs/>
                <w:szCs w:val="21"/>
              </w:rPr>
            </w:pPr>
            <w:r>
              <w:rPr>
                <w:rFonts w:hint="eastAsia" w:ascii="宋体" w:hAnsi="宋体" w:cs="宋体"/>
                <w:bCs/>
                <w:szCs w:val="21"/>
              </w:rPr>
              <w:t>深度游标卡尺</w:t>
            </w:r>
          </w:p>
        </w:tc>
        <w:tc>
          <w:tcPr>
            <w:tcW w:w="1424" w:type="dxa"/>
            <w:tcBorders>
              <w:top w:val="single" w:color="auto" w:sz="4" w:space="0"/>
              <w:left w:val="single" w:color="auto" w:sz="4" w:space="0"/>
              <w:bottom w:val="single" w:color="auto" w:sz="4" w:space="0"/>
              <w:right w:val="single" w:color="auto" w:sz="4" w:space="0"/>
            </w:tcBorders>
            <w:vAlign w:val="center"/>
          </w:tcPr>
          <w:p w14:paraId="1AF06296">
            <w:pPr>
              <w:tabs>
                <w:tab w:val="left" w:pos="4102"/>
                <w:tab w:val="right" w:pos="4402"/>
              </w:tabs>
              <w:jc w:val="center"/>
              <w:rPr>
                <w:rFonts w:ascii="宋体" w:hAnsi="宋体" w:cs="宋体"/>
                <w:szCs w:val="21"/>
              </w:rPr>
            </w:pPr>
            <w:r>
              <w:rPr>
                <w:rFonts w:hint="eastAsia" w:ascii="宋体" w:hAnsi="宋体" w:cs="宋体"/>
                <w:szCs w:val="21"/>
              </w:rPr>
              <w:t>0-150</w:t>
            </w:r>
          </w:p>
        </w:tc>
        <w:tc>
          <w:tcPr>
            <w:tcW w:w="1302" w:type="dxa"/>
            <w:tcBorders>
              <w:top w:val="single" w:color="auto" w:sz="4" w:space="0"/>
              <w:left w:val="single" w:color="auto" w:sz="4" w:space="0"/>
              <w:bottom w:val="single" w:color="auto" w:sz="4" w:space="0"/>
              <w:right w:val="single" w:color="auto" w:sz="4" w:space="0"/>
            </w:tcBorders>
            <w:vAlign w:val="center"/>
          </w:tcPr>
          <w:p w14:paraId="334C90C0">
            <w:pPr>
              <w:tabs>
                <w:tab w:val="left" w:pos="4102"/>
                <w:tab w:val="right" w:pos="4402"/>
              </w:tabs>
              <w:jc w:val="center"/>
              <w:rPr>
                <w:rFonts w:ascii="宋体" w:hAnsi="宋体" w:cs="宋体"/>
                <w:szCs w:val="21"/>
              </w:rPr>
            </w:pPr>
            <w:r>
              <w:rPr>
                <w:rFonts w:hint="eastAsia" w:ascii="宋体" w:hAnsi="宋体" w:cs="宋体"/>
                <w:szCs w:val="21"/>
                <w:lang w:val="en-US" w:eastAsia="zh-CN"/>
              </w:rPr>
              <w:t>1</w:t>
            </w:r>
            <w:r>
              <w:rPr>
                <w:rFonts w:hint="eastAsia" w:ascii="宋体" w:hAnsi="宋体" w:cs="宋体"/>
                <w:szCs w:val="21"/>
              </w:rPr>
              <w:t>把</w:t>
            </w:r>
          </w:p>
        </w:tc>
        <w:tc>
          <w:tcPr>
            <w:tcW w:w="1654" w:type="dxa"/>
            <w:tcBorders>
              <w:top w:val="single" w:color="auto" w:sz="4" w:space="0"/>
              <w:left w:val="single" w:color="auto" w:sz="4" w:space="0"/>
              <w:bottom w:val="single" w:color="auto" w:sz="4" w:space="0"/>
              <w:right w:val="single" w:color="auto" w:sz="4" w:space="0"/>
            </w:tcBorders>
          </w:tcPr>
          <w:p w14:paraId="465040E7">
            <w:pPr>
              <w:jc w:val="center"/>
              <w:rPr>
                <w:rFonts w:ascii="宋体" w:hAnsi="宋体" w:cs="宋体"/>
                <w:bCs/>
                <w:szCs w:val="21"/>
              </w:rPr>
            </w:pPr>
          </w:p>
        </w:tc>
        <w:tc>
          <w:tcPr>
            <w:tcW w:w="1590" w:type="dxa"/>
            <w:tcBorders>
              <w:top w:val="single" w:color="auto" w:sz="4" w:space="0"/>
              <w:left w:val="single" w:color="auto" w:sz="4" w:space="0"/>
              <w:bottom w:val="single" w:color="auto" w:sz="4" w:space="0"/>
              <w:right w:val="single" w:color="auto" w:sz="4" w:space="0"/>
            </w:tcBorders>
            <w:vAlign w:val="center"/>
          </w:tcPr>
          <w:p w14:paraId="6203227B">
            <w:pPr>
              <w:jc w:val="center"/>
              <w:rPr>
                <w:rFonts w:ascii="宋体" w:hAnsi="宋体" w:cs="宋体"/>
                <w:bCs/>
                <w:szCs w:val="21"/>
              </w:rPr>
            </w:pPr>
          </w:p>
        </w:tc>
      </w:tr>
      <w:tr w14:paraId="5C30A6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62" w:type="dxa"/>
            <w:tcBorders>
              <w:top w:val="single" w:color="auto" w:sz="4" w:space="0"/>
              <w:left w:val="single" w:color="auto" w:sz="4" w:space="0"/>
              <w:bottom w:val="single" w:color="auto" w:sz="4" w:space="0"/>
              <w:right w:val="single" w:color="auto" w:sz="4" w:space="0"/>
            </w:tcBorders>
            <w:vAlign w:val="center"/>
          </w:tcPr>
          <w:p w14:paraId="49C22942">
            <w:pPr>
              <w:jc w:val="center"/>
              <w:rPr>
                <w:rFonts w:ascii="宋体" w:hAnsi="宋体" w:cs="宋体"/>
                <w:bCs/>
                <w:szCs w:val="21"/>
              </w:rPr>
            </w:pPr>
            <w:r>
              <w:rPr>
                <w:rFonts w:hint="eastAsia" w:ascii="宋体" w:hAnsi="宋体" w:cs="宋体"/>
                <w:bCs/>
                <w:szCs w:val="21"/>
              </w:rPr>
              <w:t>3</w:t>
            </w:r>
          </w:p>
        </w:tc>
        <w:tc>
          <w:tcPr>
            <w:tcW w:w="1764" w:type="dxa"/>
            <w:tcBorders>
              <w:top w:val="single" w:color="auto" w:sz="4" w:space="0"/>
              <w:left w:val="single" w:color="auto" w:sz="4" w:space="0"/>
              <w:bottom w:val="single" w:color="auto" w:sz="4" w:space="0"/>
              <w:right w:val="single" w:color="auto" w:sz="4" w:space="0"/>
            </w:tcBorders>
            <w:vAlign w:val="center"/>
          </w:tcPr>
          <w:p w14:paraId="07FF1CB3">
            <w:pPr>
              <w:jc w:val="center"/>
              <w:rPr>
                <w:rFonts w:ascii="宋体" w:hAnsi="宋体" w:cs="宋体"/>
                <w:bCs/>
                <w:szCs w:val="21"/>
              </w:rPr>
            </w:pPr>
            <w:r>
              <w:rPr>
                <w:rFonts w:hint="eastAsia" w:ascii="宋体" w:hAnsi="宋体" w:cs="宋体"/>
                <w:bCs/>
                <w:szCs w:val="21"/>
              </w:rPr>
              <w:t>外径千分尺</w:t>
            </w:r>
          </w:p>
        </w:tc>
        <w:tc>
          <w:tcPr>
            <w:tcW w:w="1424" w:type="dxa"/>
            <w:tcBorders>
              <w:top w:val="single" w:color="auto" w:sz="4" w:space="0"/>
              <w:left w:val="single" w:color="auto" w:sz="4" w:space="0"/>
              <w:bottom w:val="single" w:color="auto" w:sz="4" w:space="0"/>
              <w:right w:val="single" w:color="auto" w:sz="4" w:space="0"/>
            </w:tcBorders>
            <w:vAlign w:val="center"/>
          </w:tcPr>
          <w:p w14:paraId="7D589E6F">
            <w:pPr>
              <w:ind w:right="15" w:rightChars="7"/>
              <w:rPr>
                <w:rFonts w:ascii="宋体" w:hAnsi="宋体" w:cs="宋体"/>
                <w:szCs w:val="21"/>
              </w:rPr>
            </w:pPr>
            <w:r>
              <w:rPr>
                <w:rFonts w:hint="eastAsia" w:ascii="宋体" w:hAnsi="宋体" w:cs="宋体"/>
                <w:szCs w:val="21"/>
              </w:rPr>
              <w:t>外径千分尺（0-600mm）</w:t>
            </w:r>
          </w:p>
        </w:tc>
        <w:tc>
          <w:tcPr>
            <w:tcW w:w="1302" w:type="dxa"/>
            <w:tcBorders>
              <w:top w:val="single" w:color="auto" w:sz="4" w:space="0"/>
              <w:left w:val="single" w:color="auto" w:sz="4" w:space="0"/>
              <w:bottom w:val="single" w:color="auto" w:sz="4" w:space="0"/>
              <w:right w:val="single" w:color="auto" w:sz="4" w:space="0"/>
            </w:tcBorders>
            <w:vAlign w:val="center"/>
          </w:tcPr>
          <w:p w14:paraId="1BD22377">
            <w:pPr>
              <w:tabs>
                <w:tab w:val="left" w:pos="4102"/>
                <w:tab w:val="right" w:pos="4402"/>
              </w:tabs>
              <w:jc w:val="center"/>
              <w:rPr>
                <w:rFonts w:ascii="宋体" w:hAnsi="宋体" w:cs="宋体"/>
                <w:szCs w:val="21"/>
              </w:rPr>
            </w:pPr>
            <w:r>
              <w:rPr>
                <w:rFonts w:hint="eastAsia" w:ascii="宋体" w:hAnsi="宋体" w:cs="宋体"/>
                <w:szCs w:val="21"/>
              </w:rPr>
              <w:t>各1套</w:t>
            </w:r>
          </w:p>
        </w:tc>
        <w:tc>
          <w:tcPr>
            <w:tcW w:w="1654" w:type="dxa"/>
            <w:tcBorders>
              <w:top w:val="single" w:color="auto" w:sz="4" w:space="0"/>
              <w:left w:val="single" w:color="auto" w:sz="4" w:space="0"/>
              <w:bottom w:val="single" w:color="auto" w:sz="4" w:space="0"/>
              <w:right w:val="single" w:color="auto" w:sz="4" w:space="0"/>
            </w:tcBorders>
          </w:tcPr>
          <w:p w14:paraId="029B4419">
            <w:pPr>
              <w:jc w:val="center"/>
              <w:rPr>
                <w:rFonts w:ascii="宋体" w:hAnsi="宋体" w:cs="宋体"/>
                <w:bCs/>
                <w:szCs w:val="21"/>
              </w:rPr>
            </w:pPr>
          </w:p>
        </w:tc>
        <w:tc>
          <w:tcPr>
            <w:tcW w:w="1590" w:type="dxa"/>
            <w:tcBorders>
              <w:top w:val="single" w:color="auto" w:sz="4" w:space="0"/>
              <w:left w:val="single" w:color="auto" w:sz="4" w:space="0"/>
              <w:bottom w:val="single" w:color="auto" w:sz="4" w:space="0"/>
              <w:right w:val="single" w:color="auto" w:sz="4" w:space="0"/>
            </w:tcBorders>
            <w:vAlign w:val="center"/>
          </w:tcPr>
          <w:p w14:paraId="24FEBB3E">
            <w:pPr>
              <w:jc w:val="center"/>
              <w:rPr>
                <w:rFonts w:ascii="宋体" w:hAnsi="宋体" w:cs="宋体"/>
                <w:bCs/>
                <w:szCs w:val="21"/>
              </w:rPr>
            </w:pPr>
          </w:p>
        </w:tc>
      </w:tr>
      <w:tr w14:paraId="08D3AF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62" w:type="dxa"/>
            <w:tcBorders>
              <w:top w:val="single" w:color="auto" w:sz="4" w:space="0"/>
              <w:left w:val="single" w:color="auto" w:sz="4" w:space="0"/>
              <w:bottom w:val="single" w:color="auto" w:sz="4" w:space="0"/>
              <w:right w:val="single" w:color="auto" w:sz="4" w:space="0"/>
            </w:tcBorders>
            <w:vAlign w:val="center"/>
          </w:tcPr>
          <w:p w14:paraId="60E1E485">
            <w:pPr>
              <w:jc w:val="center"/>
              <w:rPr>
                <w:rFonts w:ascii="宋体" w:hAnsi="宋体" w:cs="宋体"/>
                <w:bCs/>
                <w:szCs w:val="21"/>
              </w:rPr>
            </w:pPr>
            <w:r>
              <w:rPr>
                <w:rFonts w:hint="eastAsia" w:ascii="宋体" w:hAnsi="宋体" w:cs="宋体"/>
                <w:bCs/>
                <w:szCs w:val="21"/>
              </w:rPr>
              <w:t>4</w:t>
            </w:r>
          </w:p>
        </w:tc>
        <w:tc>
          <w:tcPr>
            <w:tcW w:w="1764" w:type="dxa"/>
            <w:tcBorders>
              <w:top w:val="single" w:color="auto" w:sz="4" w:space="0"/>
              <w:left w:val="single" w:color="auto" w:sz="4" w:space="0"/>
              <w:bottom w:val="single" w:color="auto" w:sz="4" w:space="0"/>
              <w:right w:val="single" w:color="auto" w:sz="4" w:space="0"/>
            </w:tcBorders>
            <w:vAlign w:val="center"/>
          </w:tcPr>
          <w:p w14:paraId="2A1E9637">
            <w:pPr>
              <w:jc w:val="center"/>
              <w:rPr>
                <w:rFonts w:ascii="宋体" w:hAnsi="宋体" w:cs="宋体"/>
                <w:bCs/>
                <w:szCs w:val="21"/>
              </w:rPr>
            </w:pPr>
            <w:r>
              <w:rPr>
                <w:rFonts w:hint="eastAsia" w:ascii="宋体" w:hAnsi="宋体" w:cs="宋体"/>
                <w:bCs/>
                <w:szCs w:val="21"/>
              </w:rPr>
              <w:t>内径千分尺</w:t>
            </w:r>
          </w:p>
        </w:tc>
        <w:tc>
          <w:tcPr>
            <w:tcW w:w="1424" w:type="dxa"/>
            <w:tcBorders>
              <w:top w:val="single" w:color="auto" w:sz="4" w:space="0"/>
              <w:left w:val="single" w:color="auto" w:sz="4" w:space="0"/>
              <w:bottom w:val="single" w:color="auto" w:sz="4" w:space="0"/>
              <w:right w:val="single" w:color="auto" w:sz="4" w:space="0"/>
            </w:tcBorders>
            <w:vAlign w:val="center"/>
          </w:tcPr>
          <w:p w14:paraId="35842A1F">
            <w:pPr>
              <w:ind w:right="15" w:rightChars="7"/>
              <w:rPr>
                <w:rFonts w:ascii="宋体" w:hAnsi="宋体" w:cs="宋体"/>
                <w:szCs w:val="21"/>
              </w:rPr>
            </w:pPr>
            <w:r>
              <w:rPr>
                <w:rFonts w:hint="eastAsia" w:ascii="宋体" w:hAnsi="宋体" w:cs="宋体"/>
                <w:szCs w:val="21"/>
              </w:rPr>
              <w:t>内径千分尺（0-600mm）</w:t>
            </w:r>
          </w:p>
        </w:tc>
        <w:tc>
          <w:tcPr>
            <w:tcW w:w="1302" w:type="dxa"/>
            <w:tcBorders>
              <w:top w:val="single" w:color="auto" w:sz="4" w:space="0"/>
              <w:left w:val="single" w:color="auto" w:sz="4" w:space="0"/>
              <w:bottom w:val="single" w:color="auto" w:sz="4" w:space="0"/>
              <w:right w:val="single" w:color="auto" w:sz="4" w:space="0"/>
            </w:tcBorders>
            <w:vAlign w:val="center"/>
          </w:tcPr>
          <w:p w14:paraId="2E666065">
            <w:pPr>
              <w:tabs>
                <w:tab w:val="left" w:pos="4102"/>
                <w:tab w:val="right" w:pos="4402"/>
              </w:tabs>
              <w:jc w:val="center"/>
              <w:rPr>
                <w:rFonts w:ascii="宋体" w:hAnsi="宋体" w:cs="宋体"/>
                <w:szCs w:val="21"/>
              </w:rPr>
            </w:pPr>
            <w:r>
              <w:rPr>
                <w:rFonts w:hint="eastAsia" w:ascii="宋体" w:hAnsi="宋体" w:cs="宋体"/>
                <w:szCs w:val="21"/>
              </w:rPr>
              <w:t>各1套</w:t>
            </w:r>
          </w:p>
        </w:tc>
        <w:tc>
          <w:tcPr>
            <w:tcW w:w="1654" w:type="dxa"/>
            <w:tcBorders>
              <w:top w:val="single" w:color="auto" w:sz="4" w:space="0"/>
              <w:left w:val="single" w:color="auto" w:sz="4" w:space="0"/>
              <w:bottom w:val="single" w:color="auto" w:sz="4" w:space="0"/>
              <w:right w:val="single" w:color="auto" w:sz="4" w:space="0"/>
            </w:tcBorders>
          </w:tcPr>
          <w:p w14:paraId="27BA3B4A">
            <w:pPr>
              <w:jc w:val="center"/>
              <w:rPr>
                <w:rFonts w:ascii="宋体" w:hAnsi="宋体" w:cs="宋体"/>
                <w:bCs/>
                <w:szCs w:val="21"/>
              </w:rPr>
            </w:pPr>
          </w:p>
        </w:tc>
        <w:tc>
          <w:tcPr>
            <w:tcW w:w="1590" w:type="dxa"/>
            <w:tcBorders>
              <w:top w:val="single" w:color="auto" w:sz="4" w:space="0"/>
              <w:left w:val="single" w:color="auto" w:sz="4" w:space="0"/>
              <w:bottom w:val="single" w:color="auto" w:sz="4" w:space="0"/>
              <w:right w:val="single" w:color="auto" w:sz="4" w:space="0"/>
            </w:tcBorders>
            <w:vAlign w:val="center"/>
          </w:tcPr>
          <w:p w14:paraId="2F2F387D">
            <w:pPr>
              <w:jc w:val="center"/>
              <w:rPr>
                <w:rFonts w:ascii="宋体" w:hAnsi="宋体" w:cs="宋体"/>
                <w:bCs/>
                <w:szCs w:val="21"/>
              </w:rPr>
            </w:pPr>
          </w:p>
        </w:tc>
      </w:tr>
      <w:tr w14:paraId="0650E2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62" w:type="dxa"/>
            <w:tcBorders>
              <w:top w:val="single" w:color="auto" w:sz="4" w:space="0"/>
              <w:left w:val="single" w:color="auto" w:sz="4" w:space="0"/>
              <w:bottom w:val="single" w:color="auto" w:sz="4" w:space="0"/>
              <w:right w:val="single" w:color="auto" w:sz="4" w:space="0"/>
            </w:tcBorders>
            <w:vAlign w:val="center"/>
          </w:tcPr>
          <w:p w14:paraId="2F4B1BA4">
            <w:pPr>
              <w:jc w:val="center"/>
              <w:rPr>
                <w:rFonts w:ascii="宋体" w:hAnsi="宋体" w:cs="宋体"/>
                <w:bCs/>
                <w:szCs w:val="21"/>
              </w:rPr>
            </w:pPr>
            <w:r>
              <w:rPr>
                <w:rFonts w:hint="eastAsia" w:ascii="宋体" w:hAnsi="宋体" w:cs="宋体"/>
                <w:bCs/>
                <w:szCs w:val="21"/>
              </w:rPr>
              <w:t>5</w:t>
            </w:r>
          </w:p>
        </w:tc>
        <w:tc>
          <w:tcPr>
            <w:tcW w:w="1764" w:type="dxa"/>
            <w:tcBorders>
              <w:top w:val="single" w:color="auto" w:sz="4" w:space="0"/>
              <w:left w:val="single" w:color="auto" w:sz="4" w:space="0"/>
              <w:bottom w:val="single" w:color="auto" w:sz="4" w:space="0"/>
              <w:right w:val="single" w:color="auto" w:sz="4" w:space="0"/>
            </w:tcBorders>
            <w:vAlign w:val="center"/>
          </w:tcPr>
          <w:p w14:paraId="0011115D">
            <w:pPr>
              <w:jc w:val="center"/>
              <w:rPr>
                <w:rFonts w:ascii="宋体" w:hAnsi="宋体" w:cs="宋体"/>
                <w:bCs/>
                <w:szCs w:val="21"/>
              </w:rPr>
            </w:pPr>
            <w:r>
              <w:rPr>
                <w:rFonts w:hint="eastAsia" w:ascii="宋体" w:hAnsi="宋体" w:cs="宋体"/>
                <w:bCs/>
                <w:szCs w:val="21"/>
              </w:rPr>
              <w:t>百分表(带表架)</w:t>
            </w:r>
          </w:p>
        </w:tc>
        <w:tc>
          <w:tcPr>
            <w:tcW w:w="1424" w:type="dxa"/>
            <w:tcBorders>
              <w:top w:val="single" w:color="auto" w:sz="4" w:space="0"/>
              <w:left w:val="single" w:color="auto" w:sz="4" w:space="0"/>
              <w:bottom w:val="single" w:color="auto" w:sz="4" w:space="0"/>
              <w:right w:val="single" w:color="auto" w:sz="4" w:space="0"/>
            </w:tcBorders>
            <w:vAlign w:val="center"/>
          </w:tcPr>
          <w:p w14:paraId="226815CF">
            <w:pPr>
              <w:tabs>
                <w:tab w:val="left" w:pos="4102"/>
                <w:tab w:val="right" w:pos="4402"/>
              </w:tabs>
              <w:jc w:val="center"/>
              <w:rPr>
                <w:rFonts w:ascii="宋体" w:hAnsi="宋体" w:cs="宋体"/>
                <w:szCs w:val="21"/>
              </w:rPr>
            </w:pPr>
            <w:r>
              <w:rPr>
                <w:rFonts w:hint="eastAsia" w:ascii="宋体" w:hAnsi="宋体" w:cs="宋体"/>
                <w:szCs w:val="21"/>
              </w:rPr>
              <w:t>0-10毫米</w:t>
            </w:r>
          </w:p>
        </w:tc>
        <w:tc>
          <w:tcPr>
            <w:tcW w:w="1302" w:type="dxa"/>
            <w:tcBorders>
              <w:top w:val="single" w:color="auto" w:sz="4" w:space="0"/>
              <w:left w:val="single" w:color="auto" w:sz="4" w:space="0"/>
              <w:bottom w:val="single" w:color="auto" w:sz="4" w:space="0"/>
              <w:right w:val="single" w:color="auto" w:sz="4" w:space="0"/>
            </w:tcBorders>
            <w:vAlign w:val="center"/>
          </w:tcPr>
          <w:p w14:paraId="52B53FEF">
            <w:pPr>
              <w:tabs>
                <w:tab w:val="left" w:pos="4102"/>
                <w:tab w:val="right" w:pos="4402"/>
              </w:tabs>
              <w:jc w:val="center"/>
              <w:rPr>
                <w:rFonts w:ascii="宋体" w:hAnsi="宋体" w:cs="宋体"/>
                <w:szCs w:val="21"/>
              </w:rPr>
            </w:pPr>
            <w:r>
              <w:rPr>
                <w:rFonts w:hint="eastAsia" w:ascii="宋体" w:hAnsi="宋体" w:cs="宋体"/>
                <w:szCs w:val="21"/>
                <w:lang w:val="en-US" w:eastAsia="zh-CN"/>
              </w:rPr>
              <w:t>1</w:t>
            </w:r>
            <w:r>
              <w:rPr>
                <w:rFonts w:hint="eastAsia" w:ascii="宋体" w:hAnsi="宋体" w:cs="宋体"/>
                <w:szCs w:val="21"/>
              </w:rPr>
              <w:t>套</w:t>
            </w:r>
          </w:p>
        </w:tc>
        <w:tc>
          <w:tcPr>
            <w:tcW w:w="1654" w:type="dxa"/>
            <w:tcBorders>
              <w:top w:val="single" w:color="auto" w:sz="4" w:space="0"/>
              <w:left w:val="single" w:color="auto" w:sz="4" w:space="0"/>
              <w:bottom w:val="single" w:color="auto" w:sz="4" w:space="0"/>
              <w:right w:val="single" w:color="auto" w:sz="4" w:space="0"/>
            </w:tcBorders>
          </w:tcPr>
          <w:p w14:paraId="5735EBEC">
            <w:pPr>
              <w:jc w:val="center"/>
              <w:rPr>
                <w:rFonts w:ascii="宋体" w:hAnsi="宋体" w:cs="宋体"/>
                <w:bCs/>
                <w:szCs w:val="21"/>
              </w:rPr>
            </w:pPr>
          </w:p>
        </w:tc>
        <w:tc>
          <w:tcPr>
            <w:tcW w:w="1590" w:type="dxa"/>
            <w:tcBorders>
              <w:top w:val="single" w:color="auto" w:sz="4" w:space="0"/>
              <w:left w:val="single" w:color="auto" w:sz="4" w:space="0"/>
              <w:bottom w:val="single" w:color="auto" w:sz="4" w:space="0"/>
              <w:right w:val="single" w:color="auto" w:sz="4" w:space="0"/>
            </w:tcBorders>
            <w:vAlign w:val="center"/>
          </w:tcPr>
          <w:p w14:paraId="5EFD448B">
            <w:pPr>
              <w:jc w:val="center"/>
              <w:rPr>
                <w:rFonts w:ascii="宋体" w:hAnsi="宋体" w:cs="宋体"/>
                <w:bCs/>
                <w:szCs w:val="21"/>
              </w:rPr>
            </w:pPr>
          </w:p>
        </w:tc>
      </w:tr>
      <w:tr w14:paraId="253B38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62" w:type="dxa"/>
            <w:tcBorders>
              <w:top w:val="single" w:color="auto" w:sz="4" w:space="0"/>
              <w:left w:val="single" w:color="auto" w:sz="4" w:space="0"/>
              <w:bottom w:val="single" w:color="auto" w:sz="4" w:space="0"/>
              <w:right w:val="single" w:color="auto" w:sz="4" w:space="0"/>
            </w:tcBorders>
            <w:vAlign w:val="center"/>
          </w:tcPr>
          <w:p w14:paraId="59747A8E">
            <w:pPr>
              <w:jc w:val="center"/>
              <w:rPr>
                <w:rFonts w:ascii="宋体" w:hAnsi="宋体" w:cs="宋体"/>
                <w:bCs/>
                <w:szCs w:val="21"/>
              </w:rPr>
            </w:pPr>
            <w:r>
              <w:rPr>
                <w:rFonts w:hint="eastAsia" w:ascii="宋体" w:hAnsi="宋体" w:cs="宋体"/>
                <w:bCs/>
                <w:szCs w:val="21"/>
              </w:rPr>
              <w:t>6</w:t>
            </w:r>
          </w:p>
        </w:tc>
        <w:tc>
          <w:tcPr>
            <w:tcW w:w="1764" w:type="dxa"/>
            <w:tcBorders>
              <w:top w:val="single" w:color="auto" w:sz="4" w:space="0"/>
              <w:left w:val="single" w:color="auto" w:sz="4" w:space="0"/>
              <w:bottom w:val="single" w:color="auto" w:sz="4" w:space="0"/>
              <w:right w:val="single" w:color="auto" w:sz="4" w:space="0"/>
            </w:tcBorders>
            <w:vAlign w:val="center"/>
          </w:tcPr>
          <w:p w14:paraId="364EADB7">
            <w:pPr>
              <w:jc w:val="center"/>
              <w:rPr>
                <w:rFonts w:ascii="宋体" w:hAnsi="宋体" w:cs="宋体"/>
                <w:bCs/>
                <w:szCs w:val="21"/>
              </w:rPr>
            </w:pPr>
            <w:r>
              <w:rPr>
                <w:rFonts w:hint="eastAsia" w:ascii="宋体" w:hAnsi="宋体" w:cs="宋体"/>
                <w:bCs/>
                <w:szCs w:val="21"/>
              </w:rPr>
              <w:t>塞尺</w:t>
            </w:r>
          </w:p>
        </w:tc>
        <w:tc>
          <w:tcPr>
            <w:tcW w:w="1424" w:type="dxa"/>
            <w:tcBorders>
              <w:top w:val="single" w:color="auto" w:sz="4" w:space="0"/>
              <w:left w:val="single" w:color="auto" w:sz="4" w:space="0"/>
              <w:bottom w:val="single" w:color="auto" w:sz="4" w:space="0"/>
              <w:right w:val="single" w:color="auto" w:sz="4" w:space="0"/>
            </w:tcBorders>
            <w:vAlign w:val="center"/>
          </w:tcPr>
          <w:p w14:paraId="6962EFB3">
            <w:pPr>
              <w:tabs>
                <w:tab w:val="left" w:pos="4102"/>
                <w:tab w:val="right" w:pos="4402"/>
              </w:tabs>
              <w:jc w:val="center"/>
              <w:rPr>
                <w:rFonts w:ascii="宋体" w:hAnsi="宋体" w:cs="宋体"/>
                <w:szCs w:val="21"/>
              </w:rPr>
            </w:pPr>
            <w:r>
              <w:rPr>
                <w:rFonts w:hint="eastAsia" w:ascii="宋体" w:hAnsi="宋体" w:cs="宋体"/>
                <w:szCs w:val="21"/>
              </w:rPr>
              <w:t>0-1mm</w:t>
            </w:r>
          </w:p>
        </w:tc>
        <w:tc>
          <w:tcPr>
            <w:tcW w:w="1302" w:type="dxa"/>
            <w:tcBorders>
              <w:top w:val="single" w:color="auto" w:sz="4" w:space="0"/>
              <w:left w:val="single" w:color="auto" w:sz="4" w:space="0"/>
              <w:bottom w:val="single" w:color="auto" w:sz="4" w:space="0"/>
              <w:right w:val="single" w:color="auto" w:sz="4" w:space="0"/>
            </w:tcBorders>
            <w:vAlign w:val="center"/>
          </w:tcPr>
          <w:p w14:paraId="7B8A46B7">
            <w:pPr>
              <w:tabs>
                <w:tab w:val="left" w:pos="4102"/>
                <w:tab w:val="right" w:pos="4402"/>
              </w:tabs>
              <w:jc w:val="center"/>
              <w:rPr>
                <w:rFonts w:ascii="宋体" w:hAnsi="宋体" w:cs="宋体"/>
                <w:szCs w:val="21"/>
              </w:rPr>
            </w:pPr>
            <w:r>
              <w:rPr>
                <w:rFonts w:hint="eastAsia" w:ascii="宋体" w:hAnsi="宋体" w:cs="宋体"/>
                <w:szCs w:val="21"/>
                <w:lang w:val="en-US" w:eastAsia="zh-CN"/>
              </w:rPr>
              <w:t>1</w:t>
            </w:r>
            <w:r>
              <w:rPr>
                <w:rFonts w:hint="eastAsia" w:ascii="宋体" w:hAnsi="宋体" w:cs="宋体"/>
                <w:szCs w:val="21"/>
              </w:rPr>
              <w:t>套</w:t>
            </w:r>
          </w:p>
        </w:tc>
        <w:tc>
          <w:tcPr>
            <w:tcW w:w="1654" w:type="dxa"/>
            <w:tcBorders>
              <w:top w:val="single" w:color="auto" w:sz="4" w:space="0"/>
              <w:left w:val="single" w:color="auto" w:sz="4" w:space="0"/>
              <w:bottom w:val="single" w:color="auto" w:sz="4" w:space="0"/>
              <w:right w:val="single" w:color="auto" w:sz="4" w:space="0"/>
            </w:tcBorders>
          </w:tcPr>
          <w:p w14:paraId="0A141677">
            <w:pPr>
              <w:ind w:firstLine="210" w:firstLineChars="100"/>
              <w:jc w:val="center"/>
              <w:rPr>
                <w:rFonts w:ascii="宋体" w:hAnsi="宋体" w:cs="宋体"/>
                <w:bCs/>
                <w:szCs w:val="21"/>
              </w:rPr>
            </w:pPr>
          </w:p>
        </w:tc>
        <w:tc>
          <w:tcPr>
            <w:tcW w:w="1590" w:type="dxa"/>
            <w:tcBorders>
              <w:top w:val="single" w:color="auto" w:sz="4" w:space="0"/>
              <w:left w:val="single" w:color="auto" w:sz="4" w:space="0"/>
              <w:bottom w:val="single" w:color="auto" w:sz="4" w:space="0"/>
              <w:right w:val="single" w:color="auto" w:sz="4" w:space="0"/>
            </w:tcBorders>
            <w:vAlign w:val="center"/>
          </w:tcPr>
          <w:p w14:paraId="0B23548C">
            <w:pPr>
              <w:ind w:firstLine="210" w:firstLineChars="100"/>
              <w:jc w:val="center"/>
              <w:rPr>
                <w:rFonts w:ascii="宋体" w:hAnsi="宋体" w:cs="宋体"/>
                <w:bCs/>
                <w:szCs w:val="21"/>
              </w:rPr>
            </w:pPr>
          </w:p>
        </w:tc>
      </w:tr>
      <w:tr w14:paraId="198497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62" w:type="dxa"/>
            <w:tcBorders>
              <w:top w:val="single" w:color="auto" w:sz="4" w:space="0"/>
              <w:left w:val="single" w:color="auto" w:sz="4" w:space="0"/>
              <w:bottom w:val="single" w:color="auto" w:sz="4" w:space="0"/>
              <w:right w:val="single" w:color="auto" w:sz="4" w:space="0"/>
            </w:tcBorders>
            <w:vAlign w:val="center"/>
          </w:tcPr>
          <w:p w14:paraId="101D19E8">
            <w:pPr>
              <w:jc w:val="center"/>
              <w:rPr>
                <w:rFonts w:ascii="宋体" w:hAnsi="宋体" w:cs="宋体"/>
                <w:bCs/>
                <w:szCs w:val="21"/>
              </w:rPr>
            </w:pPr>
            <w:r>
              <w:rPr>
                <w:rFonts w:hint="eastAsia" w:ascii="宋体" w:hAnsi="宋体" w:cs="宋体"/>
                <w:bCs/>
                <w:szCs w:val="21"/>
              </w:rPr>
              <w:t>7</w:t>
            </w:r>
          </w:p>
        </w:tc>
        <w:tc>
          <w:tcPr>
            <w:tcW w:w="1764" w:type="dxa"/>
            <w:tcBorders>
              <w:top w:val="single" w:color="auto" w:sz="4" w:space="0"/>
              <w:left w:val="single" w:color="auto" w:sz="4" w:space="0"/>
              <w:bottom w:val="single" w:color="auto" w:sz="4" w:space="0"/>
              <w:right w:val="single" w:color="auto" w:sz="4" w:space="0"/>
            </w:tcBorders>
            <w:vAlign w:val="center"/>
          </w:tcPr>
          <w:p w14:paraId="109F0DB5">
            <w:pPr>
              <w:jc w:val="center"/>
              <w:rPr>
                <w:rFonts w:ascii="宋体" w:hAnsi="宋体" w:cs="宋体"/>
                <w:bCs/>
                <w:szCs w:val="21"/>
              </w:rPr>
            </w:pPr>
            <w:r>
              <w:rPr>
                <w:rFonts w:hint="eastAsia" w:ascii="宋体" w:hAnsi="宋体" w:cs="宋体"/>
                <w:szCs w:val="21"/>
              </w:rPr>
              <w:t>便携式测温仪</w:t>
            </w:r>
          </w:p>
        </w:tc>
        <w:tc>
          <w:tcPr>
            <w:tcW w:w="1424" w:type="dxa"/>
            <w:tcBorders>
              <w:top w:val="single" w:color="auto" w:sz="4" w:space="0"/>
              <w:left w:val="single" w:color="auto" w:sz="4" w:space="0"/>
              <w:bottom w:val="single" w:color="auto" w:sz="4" w:space="0"/>
              <w:right w:val="single" w:color="auto" w:sz="4" w:space="0"/>
            </w:tcBorders>
            <w:vAlign w:val="center"/>
          </w:tcPr>
          <w:p w14:paraId="155F5DE0">
            <w:pPr>
              <w:tabs>
                <w:tab w:val="left" w:pos="4102"/>
                <w:tab w:val="right" w:pos="4402"/>
              </w:tabs>
              <w:jc w:val="center"/>
              <w:rPr>
                <w:rFonts w:ascii="宋体" w:hAnsi="宋体" w:cs="宋体"/>
                <w:szCs w:val="21"/>
              </w:rPr>
            </w:pPr>
          </w:p>
        </w:tc>
        <w:tc>
          <w:tcPr>
            <w:tcW w:w="1302" w:type="dxa"/>
            <w:tcBorders>
              <w:top w:val="single" w:color="auto" w:sz="4" w:space="0"/>
              <w:left w:val="single" w:color="auto" w:sz="4" w:space="0"/>
              <w:bottom w:val="single" w:color="auto" w:sz="4" w:space="0"/>
              <w:right w:val="single" w:color="auto" w:sz="4" w:space="0"/>
            </w:tcBorders>
            <w:vAlign w:val="center"/>
          </w:tcPr>
          <w:p w14:paraId="4270287D">
            <w:pPr>
              <w:tabs>
                <w:tab w:val="left" w:pos="4102"/>
                <w:tab w:val="right" w:pos="4402"/>
              </w:tabs>
              <w:jc w:val="center"/>
              <w:rPr>
                <w:rFonts w:ascii="宋体" w:hAnsi="宋体" w:cs="宋体"/>
                <w:szCs w:val="21"/>
              </w:rPr>
            </w:pPr>
            <w:r>
              <w:rPr>
                <w:rFonts w:hint="eastAsia" w:ascii="宋体" w:hAnsi="宋体" w:cs="宋体"/>
                <w:szCs w:val="21"/>
                <w:lang w:val="en-US" w:eastAsia="zh-CN"/>
              </w:rPr>
              <w:t>1</w:t>
            </w:r>
            <w:r>
              <w:rPr>
                <w:rFonts w:hint="eastAsia" w:ascii="宋体" w:hAnsi="宋体" w:cs="宋体"/>
                <w:szCs w:val="21"/>
              </w:rPr>
              <w:t>把</w:t>
            </w:r>
          </w:p>
        </w:tc>
        <w:tc>
          <w:tcPr>
            <w:tcW w:w="1654" w:type="dxa"/>
            <w:tcBorders>
              <w:top w:val="single" w:color="auto" w:sz="4" w:space="0"/>
              <w:left w:val="single" w:color="auto" w:sz="4" w:space="0"/>
              <w:bottom w:val="single" w:color="auto" w:sz="4" w:space="0"/>
              <w:right w:val="single" w:color="auto" w:sz="4" w:space="0"/>
            </w:tcBorders>
          </w:tcPr>
          <w:p w14:paraId="036B0EB4">
            <w:pPr>
              <w:ind w:firstLine="210" w:firstLineChars="100"/>
              <w:jc w:val="center"/>
              <w:rPr>
                <w:rFonts w:ascii="宋体" w:hAnsi="宋体" w:cs="宋体"/>
                <w:bCs/>
                <w:szCs w:val="21"/>
              </w:rPr>
            </w:pPr>
          </w:p>
        </w:tc>
        <w:tc>
          <w:tcPr>
            <w:tcW w:w="1590" w:type="dxa"/>
            <w:tcBorders>
              <w:top w:val="single" w:color="auto" w:sz="4" w:space="0"/>
              <w:left w:val="single" w:color="auto" w:sz="4" w:space="0"/>
              <w:bottom w:val="single" w:color="auto" w:sz="4" w:space="0"/>
              <w:right w:val="single" w:color="auto" w:sz="4" w:space="0"/>
            </w:tcBorders>
            <w:vAlign w:val="center"/>
          </w:tcPr>
          <w:p w14:paraId="0A02F2C5">
            <w:pPr>
              <w:ind w:firstLine="210" w:firstLineChars="100"/>
              <w:jc w:val="center"/>
              <w:rPr>
                <w:rFonts w:ascii="宋体" w:hAnsi="宋体" w:cs="宋体"/>
                <w:bCs/>
                <w:szCs w:val="21"/>
              </w:rPr>
            </w:pPr>
          </w:p>
        </w:tc>
      </w:tr>
      <w:tr w14:paraId="2C2EE3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62" w:type="dxa"/>
            <w:tcBorders>
              <w:top w:val="single" w:color="auto" w:sz="4" w:space="0"/>
              <w:left w:val="single" w:color="auto" w:sz="4" w:space="0"/>
              <w:bottom w:val="single" w:color="auto" w:sz="4" w:space="0"/>
              <w:right w:val="single" w:color="auto" w:sz="4" w:space="0"/>
            </w:tcBorders>
            <w:vAlign w:val="center"/>
          </w:tcPr>
          <w:p w14:paraId="71CDC8B6">
            <w:pPr>
              <w:jc w:val="center"/>
              <w:rPr>
                <w:rFonts w:ascii="宋体" w:hAnsi="宋体" w:cs="宋体"/>
                <w:bCs/>
                <w:szCs w:val="21"/>
              </w:rPr>
            </w:pPr>
            <w:r>
              <w:rPr>
                <w:rFonts w:hint="eastAsia" w:ascii="宋体" w:hAnsi="宋体" w:cs="宋体"/>
                <w:bCs/>
                <w:szCs w:val="21"/>
              </w:rPr>
              <w:t>8</w:t>
            </w:r>
          </w:p>
        </w:tc>
        <w:tc>
          <w:tcPr>
            <w:tcW w:w="1764" w:type="dxa"/>
            <w:tcBorders>
              <w:top w:val="single" w:color="auto" w:sz="4" w:space="0"/>
              <w:left w:val="single" w:color="auto" w:sz="4" w:space="0"/>
              <w:bottom w:val="single" w:color="auto" w:sz="4" w:space="0"/>
              <w:right w:val="single" w:color="auto" w:sz="4" w:space="0"/>
            </w:tcBorders>
            <w:vAlign w:val="center"/>
          </w:tcPr>
          <w:p w14:paraId="5CEBFC4D">
            <w:pPr>
              <w:jc w:val="center"/>
              <w:rPr>
                <w:rFonts w:ascii="宋体" w:hAnsi="宋体" w:cs="宋体"/>
                <w:szCs w:val="21"/>
              </w:rPr>
            </w:pPr>
            <w:r>
              <w:rPr>
                <w:rFonts w:hint="eastAsia" w:ascii="宋体" w:hAnsi="宋体" w:cs="宋体"/>
                <w:szCs w:val="21"/>
              </w:rPr>
              <w:t>便携式测振仪</w:t>
            </w:r>
          </w:p>
        </w:tc>
        <w:tc>
          <w:tcPr>
            <w:tcW w:w="1424" w:type="dxa"/>
            <w:tcBorders>
              <w:top w:val="single" w:color="auto" w:sz="4" w:space="0"/>
              <w:left w:val="single" w:color="auto" w:sz="4" w:space="0"/>
              <w:bottom w:val="single" w:color="auto" w:sz="4" w:space="0"/>
              <w:right w:val="single" w:color="auto" w:sz="4" w:space="0"/>
            </w:tcBorders>
            <w:vAlign w:val="center"/>
          </w:tcPr>
          <w:p w14:paraId="31A0CF99">
            <w:pPr>
              <w:tabs>
                <w:tab w:val="left" w:pos="4102"/>
                <w:tab w:val="right" w:pos="4402"/>
              </w:tabs>
              <w:jc w:val="center"/>
              <w:rPr>
                <w:rFonts w:ascii="宋体" w:hAnsi="宋体" w:cs="宋体"/>
                <w:szCs w:val="21"/>
              </w:rPr>
            </w:pPr>
          </w:p>
        </w:tc>
        <w:tc>
          <w:tcPr>
            <w:tcW w:w="1302" w:type="dxa"/>
            <w:tcBorders>
              <w:top w:val="single" w:color="auto" w:sz="4" w:space="0"/>
              <w:left w:val="single" w:color="auto" w:sz="4" w:space="0"/>
              <w:bottom w:val="single" w:color="auto" w:sz="4" w:space="0"/>
              <w:right w:val="single" w:color="auto" w:sz="4" w:space="0"/>
            </w:tcBorders>
            <w:vAlign w:val="center"/>
          </w:tcPr>
          <w:p w14:paraId="0F324974">
            <w:pPr>
              <w:tabs>
                <w:tab w:val="left" w:pos="4102"/>
                <w:tab w:val="right" w:pos="4402"/>
              </w:tabs>
              <w:jc w:val="center"/>
              <w:rPr>
                <w:rFonts w:ascii="宋体" w:hAnsi="宋体" w:cs="宋体"/>
                <w:szCs w:val="21"/>
              </w:rPr>
            </w:pPr>
            <w:r>
              <w:rPr>
                <w:rFonts w:hint="eastAsia" w:ascii="宋体" w:hAnsi="宋体" w:cs="宋体"/>
                <w:szCs w:val="21"/>
                <w:lang w:val="en-US" w:eastAsia="zh-CN"/>
              </w:rPr>
              <w:t>1</w:t>
            </w:r>
            <w:r>
              <w:rPr>
                <w:rFonts w:hint="eastAsia" w:ascii="宋体" w:hAnsi="宋体" w:cs="宋体"/>
                <w:szCs w:val="21"/>
              </w:rPr>
              <w:t>把</w:t>
            </w:r>
          </w:p>
        </w:tc>
        <w:tc>
          <w:tcPr>
            <w:tcW w:w="1654" w:type="dxa"/>
            <w:tcBorders>
              <w:top w:val="single" w:color="auto" w:sz="4" w:space="0"/>
              <w:left w:val="single" w:color="auto" w:sz="4" w:space="0"/>
              <w:bottom w:val="single" w:color="auto" w:sz="4" w:space="0"/>
              <w:right w:val="single" w:color="auto" w:sz="4" w:space="0"/>
            </w:tcBorders>
          </w:tcPr>
          <w:p w14:paraId="3F4E7175">
            <w:pPr>
              <w:ind w:firstLine="210" w:firstLineChars="100"/>
              <w:jc w:val="center"/>
              <w:rPr>
                <w:rFonts w:ascii="宋体" w:hAnsi="宋体" w:cs="宋体"/>
                <w:bCs/>
                <w:szCs w:val="21"/>
              </w:rPr>
            </w:pPr>
          </w:p>
        </w:tc>
        <w:tc>
          <w:tcPr>
            <w:tcW w:w="1590" w:type="dxa"/>
            <w:tcBorders>
              <w:top w:val="single" w:color="auto" w:sz="4" w:space="0"/>
              <w:left w:val="single" w:color="auto" w:sz="4" w:space="0"/>
              <w:bottom w:val="single" w:color="auto" w:sz="4" w:space="0"/>
              <w:right w:val="single" w:color="auto" w:sz="4" w:space="0"/>
            </w:tcBorders>
            <w:vAlign w:val="center"/>
          </w:tcPr>
          <w:p w14:paraId="5C087E36">
            <w:pPr>
              <w:ind w:firstLine="210" w:firstLineChars="100"/>
              <w:jc w:val="center"/>
              <w:rPr>
                <w:rFonts w:ascii="宋体" w:hAnsi="宋体" w:cs="宋体"/>
                <w:bCs/>
                <w:szCs w:val="21"/>
              </w:rPr>
            </w:pPr>
          </w:p>
        </w:tc>
      </w:tr>
      <w:tr w14:paraId="249863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62" w:type="dxa"/>
            <w:tcBorders>
              <w:top w:val="single" w:color="auto" w:sz="4" w:space="0"/>
              <w:left w:val="single" w:color="auto" w:sz="4" w:space="0"/>
              <w:bottom w:val="single" w:color="auto" w:sz="4" w:space="0"/>
              <w:right w:val="single" w:color="auto" w:sz="4" w:space="0"/>
            </w:tcBorders>
            <w:vAlign w:val="center"/>
          </w:tcPr>
          <w:p w14:paraId="755DAC1B">
            <w:pPr>
              <w:jc w:val="center"/>
              <w:rPr>
                <w:rFonts w:ascii="宋体" w:hAnsi="宋体" w:cs="宋体"/>
                <w:bCs/>
                <w:szCs w:val="21"/>
              </w:rPr>
            </w:pPr>
            <w:r>
              <w:rPr>
                <w:rFonts w:hint="eastAsia" w:ascii="宋体" w:hAnsi="宋体" w:cs="宋体"/>
                <w:bCs/>
                <w:szCs w:val="21"/>
              </w:rPr>
              <w:t>9</w:t>
            </w:r>
          </w:p>
        </w:tc>
        <w:tc>
          <w:tcPr>
            <w:tcW w:w="1764" w:type="dxa"/>
            <w:tcBorders>
              <w:top w:val="single" w:color="auto" w:sz="4" w:space="0"/>
              <w:left w:val="single" w:color="auto" w:sz="4" w:space="0"/>
              <w:bottom w:val="single" w:color="auto" w:sz="4" w:space="0"/>
              <w:right w:val="single" w:color="auto" w:sz="4" w:space="0"/>
            </w:tcBorders>
            <w:vAlign w:val="center"/>
          </w:tcPr>
          <w:p w14:paraId="38D880DD">
            <w:pPr>
              <w:jc w:val="center"/>
              <w:rPr>
                <w:rFonts w:ascii="宋体" w:hAnsi="宋体" w:cs="宋体"/>
                <w:bCs/>
                <w:szCs w:val="21"/>
              </w:rPr>
            </w:pPr>
            <w:r>
              <w:rPr>
                <w:rFonts w:hint="eastAsia"/>
                <w:sz w:val="22"/>
                <w:szCs w:val="22"/>
              </w:rPr>
              <w:t>万用表</w:t>
            </w:r>
          </w:p>
        </w:tc>
        <w:tc>
          <w:tcPr>
            <w:tcW w:w="1424" w:type="dxa"/>
            <w:tcBorders>
              <w:top w:val="single" w:color="auto" w:sz="4" w:space="0"/>
              <w:left w:val="single" w:color="auto" w:sz="4" w:space="0"/>
              <w:bottom w:val="single" w:color="auto" w:sz="4" w:space="0"/>
              <w:right w:val="single" w:color="auto" w:sz="4" w:space="0"/>
            </w:tcBorders>
            <w:vAlign w:val="center"/>
          </w:tcPr>
          <w:p w14:paraId="6B26674E">
            <w:pPr>
              <w:ind w:right="15" w:rightChars="7"/>
              <w:rPr>
                <w:rFonts w:ascii="宋体" w:hAnsi="宋体" w:cs="宋体"/>
                <w:szCs w:val="21"/>
              </w:rPr>
            </w:pPr>
          </w:p>
        </w:tc>
        <w:tc>
          <w:tcPr>
            <w:tcW w:w="1302" w:type="dxa"/>
            <w:tcBorders>
              <w:top w:val="single" w:color="auto" w:sz="4" w:space="0"/>
              <w:left w:val="single" w:color="auto" w:sz="4" w:space="0"/>
              <w:bottom w:val="single" w:color="auto" w:sz="4" w:space="0"/>
              <w:right w:val="single" w:color="auto" w:sz="4" w:space="0"/>
            </w:tcBorders>
            <w:vAlign w:val="center"/>
          </w:tcPr>
          <w:p w14:paraId="3B02AF2B">
            <w:pPr>
              <w:tabs>
                <w:tab w:val="left" w:pos="4102"/>
                <w:tab w:val="right" w:pos="4402"/>
              </w:tabs>
              <w:jc w:val="center"/>
              <w:rPr>
                <w:rFonts w:ascii="宋体" w:hAnsi="宋体" w:cs="宋体"/>
                <w:szCs w:val="21"/>
              </w:rPr>
            </w:pPr>
            <w:r>
              <w:rPr>
                <w:rFonts w:hint="eastAsia" w:ascii="宋体" w:hAnsi="宋体" w:cs="宋体"/>
                <w:szCs w:val="21"/>
                <w:lang w:val="en-US" w:eastAsia="zh-CN"/>
              </w:rPr>
              <w:t>3</w:t>
            </w:r>
            <w:r>
              <w:rPr>
                <w:rFonts w:hint="eastAsia" w:ascii="宋体" w:hAnsi="宋体" w:cs="宋体"/>
                <w:szCs w:val="21"/>
              </w:rPr>
              <w:t>套</w:t>
            </w:r>
          </w:p>
        </w:tc>
        <w:tc>
          <w:tcPr>
            <w:tcW w:w="1654" w:type="dxa"/>
            <w:tcBorders>
              <w:top w:val="single" w:color="auto" w:sz="4" w:space="0"/>
              <w:left w:val="single" w:color="auto" w:sz="4" w:space="0"/>
              <w:bottom w:val="single" w:color="auto" w:sz="4" w:space="0"/>
              <w:right w:val="single" w:color="auto" w:sz="4" w:space="0"/>
            </w:tcBorders>
          </w:tcPr>
          <w:p w14:paraId="523009B5">
            <w:pPr>
              <w:ind w:firstLine="210" w:firstLineChars="100"/>
              <w:jc w:val="center"/>
              <w:rPr>
                <w:rFonts w:ascii="宋体" w:hAnsi="宋体" w:cs="宋体"/>
                <w:bCs/>
                <w:szCs w:val="21"/>
              </w:rPr>
            </w:pPr>
          </w:p>
        </w:tc>
        <w:tc>
          <w:tcPr>
            <w:tcW w:w="1590" w:type="dxa"/>
            <w:tcBorders>
              <w:top w:val="single" w:color="auto" w:sz="4" w:space="0"/>
              <w:left w:val="single" w:color="auto" w:sz="4" w:space="0"/>
              <w:bottom w:val="single" w:color="auto" w:sz="4" w:space="0"/>
              <w:right w:val="single" w:color="auto" w:sz="4" w:space="0"/>
            </w:tcBorders>
            <w:vAlign w:val="center"/>
          </w:tcPr>
          <w:p w14:paraId="261567B1">
            <w:pPr>
              <w:ind w:firstLine="210" w:firstLineChars="100"/>
              <w:jc w:val="center"/>
              <w:rPr>
                <w:rFonts w:ascii="宋体" w:hAnsi="宋体" w:cs="宋体"/>
                <w:bCs/>
                <w:szCs w:val="21"/>
              </w:rPr>
            </w:pPr>
          </w:p>
        </w:tc>
      </w:tr>
      <w:tr w14:paraId="5E369C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62" w:type="dxa"/>
            <w:tcBorders>
              <w:top w:val="single" w:color="auto" w:sz="4" w:space="0"/>
              <w:left w:val="single" w:color="auto" w:sz="4" w:space="0"/>
              <w:bottom w:val="single" w:color="auto" w:sz="4" w:space="0"/>
              <w:right w:val="single" w:color="auto" w:sz="4" w:space="0"/>
            </w:tcBorders>
            <w:vAlign w:val="center"/>
          </w:tcPr>
          <w:p w14:paraId="59B6AB00">
            <w:pPr>
              <w:jc w:val="center"/>
              <w:rPr>
                <w:rFonts w:ascii="宋体" w:hAnsi="宋体" w:cs="宋体"/>
                <w:bCs/>
                <w:szCs w:val="21"/>
              </w:rPr>
            </w:pPr>
            <w:r>
              <w:rPr>
                <w:rFonts w:hint="eastAsia" w:ascii="宋体" w:hAnsi="宋体" w:cs="宋体"/>
                <w:bCs/>
                <w:szCs w:val="21"/>
              </w:rPr>
              <w:t>1</w:t>
            </w:r>
            <w:r>
              <w:rPr>
                <w:rFonts w:ascii="宋体" w:hAnsi="宋体" w:cs="宋体"/>
                <w:bCs/>
                <w:szCs w:val="21"/>
              </w:rPr>
              <w:t>1</w:t>
            </w:r>
          </w:p>
        </w:tc>
        <w:tc>
          <w:tcPr>
            <w:tcW w:w="1764" w:type="dxa"/>
            <w:tcBorders>
              <w:top w:val="single" w:color="auto" w:sz="4" w:space="0"/>
              <w:left w:val="single" w:color="auto" w:sz="4" w:space="0"/>
              <w:bottom w:val="single" w:color="auto" w:sz="4" w:space="0"/>
              <w:right w:val="single" w:color="auto" w:sz="4" w:space="0"/>
            </w:tcBorders>
            <w:vAlign w:val="center"/>
          </w:tcPr>
          <w:p w14:paraId="7E9CBD30">
            <w:pPr>
              <w:jc w:val="center"/>
              <w:rPr>
                <w:rFonts w:ascii="宋体" w:hAnsi="宋体" w:cs="宋体"/>
                <w:szCs w:val="21"/>
              </w:rPr>
            </w:pPr>
            <w:r>
              <w:rPr>
                <w:rFonts w:hint="eastAsia" w:ascii="宋体" w:hAnsi="宋体" w:cs="宋体"/>
                <w:szCs w:val="21"/>
              </w:rPr>
              <w:t>钳形表</w:t>
            </w:r>
          </w:p>
        </w:tc>
        <w:tc>
          <w:tcPr>
            <w:tcW w:w="1424" w:type="dxa"/>
            <w:tcBorders>
              <w:top w:val="single" w:color="auto" w:sz="4" w:space="0"/>
              <w:left w:val="single" w:color="auto" w:sz="4" w:space="0"/>
              <w:bottom w:val="single" w:color="auto" w:sz="4" w:space="0"/>
              <w:right w:val="single" w:color="auto" w:sz="4" w:space="0"/>
            </w:tcBorders>
            <w:vAlign w:val="center"/>
          </w:tcPr>
          <w:p w14:paraId="2A6DA978">
            <w:pPr>
              <w:ind w:right="15" w:rightChars="7"/>
              <w:rPr>
                <w:rFonts w:ascii="宋体" w:hAnsi="宋体" w:cs="宋体"/>
                <w:szCs w:val="21"/>
              </w:rPr>
            </w:pPr>
          </w:p>
        </w:tc>
        <w:tc>
          <w:tcPr>
            <w:tcW w:w="1302" w:type="dxa"/>
            <w:tcBorders>
              <w:top w:val="single" w:color="auto" w:sz="4" w:space="0"/>
              <w:left w:val="single" w:color="auto" w:sz="4" w:space="0"/>
              <w:bottom w:val="single" w:color="auto" w:sz="4" w:space="0"/>
              <w:right w:val="single" w:color="auto" w:sz="4" w:space="0"/>
            </w:tcBorders>
            <w:vAlign w:val="center"/>
          </w:tcPr>
          <w:p w14:paraId="5AEC6C95">
            <w:pPr>
              <w:tabs>
                <w:tab w:val="left" w:pos="4102"/>
                <w:tab w:val="right" w:pos="4402"/>
              </w:tabs>
              <w:jc w:val="center"/>
              <w:rPr>
                <w:rFonts w:hint="eastAsia" w:ascii="宋体" w:hAnsi="宋体" w:eastAsia="宋体" w:cs="宋体"/>
                <w:szCs w:val="21"/>
                <w:lang w:eastAsia="zh-CN"/>
              </w:rPr>
            </w:pPr>
            <w:r>
              <w:rPr>
                <w:rFonts w:hint="eastAsia" w:ascii="宋体" w:hAnsi="宋体" w:cs="宋体"/>
                <w:szCs w:val="21"/>
              </w:rPr>
              <w:t>1</w:t>
            </w:r>
            <w:r>
              <w:rPr>
                <w:rFonts w:hint="eastAsia" w:ascii="宋体" w:hAnsi="宋体" w:cs="宋体"/>
                <w:szCs w:val="21"/>
                <w:lang w:val="en-US" w:eastAsia="zh-CN"/>
              </w:rPr>
              <w:t>套</w:t>
            </w:r>
          </w:p>
        </w:tc>
        <w:tc>
          <w:tcPr>
            <w:tcW w:w="1654" w:type="dxa"/>
            <w:tcBorders>
              <w:top w:val="single" w:color="auto" w:sz="4" w:space="0"/>
              <w:left w:val="single" w:color="auto" w:sz="4" w:space="0"/>
              <w:bottom w:val="single" w:color="auto" w:sz="4" w:space="0"/>
              <w:right w:val="single" w:color="auto" w:sz="4" w:space="0"/>
            </w:tcBorders>
          </w:tcPr>
          <w:p w14:paraId="33BEFD8C">
            <w:pPr>
              <w:ind w:firstLine="210" w:firstLineChars="100"/>
              <w:jc w:val="center"/>
              <w:rPr>
                <w:rFonts w:ascii="宋体" w:hAnsi="宋体" w:cs="宋体"/>
                <w:bCs/>
                <w:szCs w:val="21"/>
              </w:rPr>
            </w:pPr>
          </w:p>
        </w:tc>
        <w:tc>
          <w:tcPr>
            <w:tcW w:w="1590" w:type="dxa"/>
            <w:tcBorders>
              <w:top w:val="single" w:color="auto" w:sz="4" w:space="0"/>
              <w:left w:val="single" w:color="auto" w:sz="4" w:space="0"/>
              <w:bottom w:val="single" w:color="auto" w:sz="4" w:space="0"/>
              <w:right w:val="single" w:color="auto" w:sz="4" w:space="0"/>
            </w:tcBorders>
            <w:vAlign w:val="center"/>
          </w:tcPr>
          <w:p w14:paraId="33B35326">
            <w:pPr>
              <w:ind w:firstLine="210" w:firstLineChars="100"/>
              <w:jc w:val="center"/>
              <w:rPr>
                <w:rFonts w:ascii="宋体" w:hAnsi="宋体" w:cs="宋体"/>
                <w:bCs/>
                <w:szCs w:val="21"/>
              </w:rPr>
            </w:pPr>
          </w:p>
        </w:tc>
      </w:tr>
      <w:tr w14:paraId="75705C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62" w:type="dxa"/>
            <w:tcBorders>
              <w:top w:val="single" w:color="auto" w:sz="4" w:space="0"/>
              <w:left w:val="single" w:color="auto" w:sz="4" w:space="0"/>
              <w:bottom w:val="single" w:color="auto" w:sz="4" w:space="0"/>
              <w:right w:val="single" w:color="auto" w:sz="4" w:space="0"/>
            </w:tcBorders>
            <w:vAlign w:val="center"/>
          </w:tcPr>
          <w:p w14:paraId="53256C60">
            <w:pPr>
              <w:jc w:val="center"/>
              <w:rPr>
                <w:rFonts w:ascii="宋体" w:hAnsi="宋体" w:cs="宋体"/>
                <w:bCs/>
                <w:szCs w:val="21"/>
              </w:rPr>
            </w:pPr>
            <w:r>
              <w:rPr>
                <w:rFonts w:ascii="宋体" w:hAnsi="宋体" w:cs="宋体"/>
                <w:bCs/>
                <w:szCs w:val="21"/>
              </w:rPr>
              <w:t>12</w:t>
            </w:r>
          </w:p>
        </w:tc>
        <w:tc>
          <w:tcPr>
            <w:tcW w:w="1764" w:type="dxa"/>
            <w:tcBorders>
              <w:top w:val="single" w:color="auto" w:sz="4" w:space="0"/>
              <w:left w:val="single" w:color="auto" w:sz="4" w:space="0"/>
              <w:bottom w:val="single" w:color="auto" w:sz="4" w:space="0"/>
              <w:right w:val="single" w:color="auto" w:sz="4" w:space="0"/>
            </w:tcBorders>
            <w:vAlign w:val="center"/>
          </w:tcPr>
          <w:p w14:paraId="0DA274F2">
            <w:pPr>
              <w:jc w:val="center"/>
              <w:rPr>
                <w:rFonts w:ascii="宋体" w:hAnsi="宋体" w:cs="宋体"/>
                <w:szCs w:val="21"/>
              </w:rPr>
            </w:pPr>
          </w:p>
        </w:tc>
        <w:tc>
          <w:tcPr>
            <w:tcW w:w="1424" w:type="dxa"/>
            <w:tcBorders>
              <w:top w:val="single" w:color="auto" w:sz="4" w:space="0"/>
              <w:left w:val="single" w:color="auto" w:sz="4" w:space="0"/>
              <w:bottom w:val="single" w:color="auto" w:sz="4" w:space="0"/>
              <w:right w:val="single" w:color="auto" w:sz="4" w:space="0"/>
            </w:tcBorders>
            <w:vAlign w:val="center"/>
          </w:tcPr>
          <w:p w14:paraId="796AD2F1">
            <w:pPr>
              <w:ind w:right="15" w:rightChars="7"/>
              <w:rPr>
                <w:rFonts w:ascii="宋体" w:hAnsi="宋体" w:cs="宋体"/>
                <w:szCs w:val="21"/>
              </w:rPr>
            </w:pPr>
          </w:p>
        </w:tc>
        <w:tc>
          <w:tcPr>
            <w:tcW w:w="1302" w:type="dxa"/>
            <w:tcBorders>
              <w:top w:val="single" w:color="auto" w:sz="4" w:space="0"/>
              <w:left w:val="single" w:color="auto" w:sz="4" w:space="0"/>
              <w:bottom w:val="single" w:color="auto" w:sz="4" w:space="0"/>
              <w:right w:val="single" w:color="auto" w:sz="4" w:space="0"/>
            </w:tcBorders>
            <w:vAlign w:val="center"/>
          </w:tcPr>
          <w:p w14:paraId="7E12DC5D">
            <w:pPr>
              <w:tabs>
                <w:tab w:val="left" w:pos="4102"/>
                <w:tab w:val="right" w:pos="4402"/>
              </w:tabs>
              <w:jc w:val="center"/>
              <w:rPr>
                <w:rFonts w:ascii="宋体" w:hAnsi="宋体" w:cs="宋体"/>
                <w:szCs w:val="21"/>
              </w:rPr>
            </w:pPr>
          </w:p>
        </w:tc>
        <w:tc>
          <w:tcPr>
            <w:tcW w:w="1654" w:type="dxa"/>
            <w:tcBorders>
              <w:top w:val="single" w:color="auto" w:sz="4" w:space="0"/>
              <w:left w:val="single" w:color="auto" w:sz="4" w:space="0"/>
              <w:bottom w:val="single" w:color="auto" w:sz="4" w:space="0"/>
              <w:right w:val="single" w:color="auto" w:sz="4" w:space="0"/>
            </w:tcBorders>
          </w:tcPr>
          <w:p w14:paraId="420CB42B">
            <w:pPr>
              <w:ind w:firstLine="210" w:firstLineChars="100"/>
              <w:jc w:val="center"/>
              <w:rPr>
                <w:rFonts w:ascii="宋体" w:hAnsi="宋体" w:cs="宋体"/>
                <w:bCs/>
                <w:szCs w:val="21"/>
              </w:rPr>
            </w:pPr>
          </w:p>
        </w:tc>
        <w:tc>
          <w:tcPr>
            <w:tcW w:w="1590" w:type="dxa"/>
            <w:tcBorders>
              <w:top w:val="single" w:color="auto" w:sz="4" w:space="0"/>
              <w:left w:val="single" w:color="auto" w:sz="4" w:space="0"/>
              <w:bottom w:val="single" w:color="auto" w:sz="4" w:space="0"/>
              <w:right w:val="single" w:color="auto" w:sz="4" w:space="0"/>
            </w:tcBorders>
            <w:vAlign w:val="center"/>
          </w:tcPr>
          <w:p w14:paraId="6BBED792">
            <w:pPr>
              <w:ind w:firstLine="210" w:firstLineChars="100"/>
              <w:jc w:val="center"/>
              <w:rPr>
                <w:rFonts w:ascii="宋体" w:hAnsi="宋体" w:cs="宋体"/>
                <w:bCs/>
                <w:szCs w:val="21"/>
              </w:rPr>
            </w:pPr>
          </w:p>
        </w:tc>
      </w:tr>
      <w:tr w14:paraId="1C8223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62" w:type="dxa"/>
            <w:tcBorders>
              <w:top w:val="single" w:color="auto" w:sz="4" w:space="0"/>
              <w:left w:val="single" w:color="auto" w:sz="4" w:space="0"/>
              <w:bottom w:val="single" w:color="auto" w:sz="4" w:space="0"/>
              <w:right w:val="single" w:color="auto" w:sz="4" w:space="0"/>
            </w:tcBorders>
            <w:vAlign w:val="center"/>
          </w:tcPr>
          <w:p w14:paraId="492537C8">
            <w:pPr>
              <w:jc w:val="center"/>
              <w:rPr>
                <w:rFonts w:ascii="宋体" w:hAnsi="宋体" w:cs="宋体"/>
                <w:bCs/>
                <w:szCs w:val="21"/>
              </w:rPr>
            </w:pPr>
            <w:r>
              <w:rPr>
                <w:rFonts w:ascii="宋体" w:hAnsi="宋体" w:cs="宋体"/>
                <w:bCs/>
                <w:szCs w:val="21"/>
              </w:rPr>
              <w:t>…</w:t>
            </w:r>
          </w:p>
        </w:tc>
        <w:tc>
          <w:tcPr>
            <w:tcW w:w="1764" w:type="dxa"/>
            <w:tcBorders>
              <w:top w:val="single" w:color="auto" w:sz="4" w:space="0"/>
              <w:left w:val="single" w:color="auto" w:sz="4" w:space="0"/>
              <w:bottom w:val="single" w:color="auto" w:sz="4" w:space="0"/>
              <w:right w:val="single" w:color="auto" w:sz="4" w:space="0"/>
            </w:tcBorders>
            <w:vAlign w:val="center"/>
          </w:tcPr>
          <w:p w14:paraId="38D3A1F6">
            <w:pPr>
              <w:jc w:val="center"/>
              <w:rPr>
                <w:sz w:val="22"/>
                <w:szCs w:val="22"/>
              </w:rPr>
            </w:pPr>
          </w:p>
        </w:tc>
        <w:tc>
          <w:tcPr>
            <w:tcW w:w="1424" w:type="dxa"/>
            <w:tcBorders>
              <w:top w:val="single" w:color="auto" w:sz="4" w:space="0"/>
              <w:left w:val="single" w:color="auto" w:sz="4" w:space="0"/>
              <w:bottom w:val="single" w:color="auto" w:sz="4" w:space="0"/>
              <w:right w:val="single" w:color="auto" w:sz="4" w:space="0"/>
            </w:tcBorders>
            <w:vAlign w:val="center"/>
          </w:tcPr>
          <w:p w14:paraId="3FC36300">
            <w:pPr>
              <w:ind w:right="15" w:rightChars="7"/>
              <w:rPr>
                <w:rFonts w:ascii="宋体" w:hAnsi="宋体" w:cs="宋体"/>
                <w:szCs w:val="21"/>
              </w:rPr>
            </w:pPr>
          </w:p>
        </w:tc>
        <w:tc>
          <w:tcPr>
            <w:tcW w:w="1302" w:type="dxa"/>
            <w:tcBorders>
              <w:top w:val="single" w:color="auto" w:sz="4" w:space="0"/>
              <w:left w:val="single" w:color="auto" w:sz="4" w:space="0"/>
              <w:bottom w:val="single" w:color="auto" w:sz="4" w:space="0"/>
              <w:right w:val="single" w:color="auto" w:sz="4" w:space="0"/>
            </w:tcBorders>
            <w:vAlign w:val="center"/>
          </w:tcPr>
          <w:p w14:paraId="5B742320">
            <w:pPr>
              <w:tabs>
                <w:tab w:val="left" w:pos="4102"/>
                <w:tab w:val="right" w:pos="4402"/>
              </w:tabs>
              <w:jc w:val="center"/>
              <w:rPr>
                <w:rFonts w:ascii="宋体" w:hAnsi="宋体" w:cs="宋体"/>
                <w:szCs w:val="21"/>
              </w:rPr>
            </w:pPr>
          </w:p>
        </w:tc>
        <w:tc>
          <w:tcPr>
            <w:tcW w:w="1654" w:type="dxa"/>
            <w:tcBorders>
              <w:top w:val="single" w:color="auto" w:sz="4" w:space="0"/>
              <w:left w:val="single" w:color="auto" w:sz="4" w:space="0"/>
              <w:bottom w:val="single" w:color="auto" w:sz="4" w:space="0"/>
              <w:right w:val="single" w:color="auto" w:sz="4" w:space="0"/>
            </w:tcBorders>
          </w:tcPr>
          <w:p w14:paraId="70C6C44D">
            <w:pPr>
              <w:ind w:firstLine="210" w:firstLineChars="100"/>
              <w:jc w:val="center"/>
              <w:rPr>
                <w:rFonts w:ascii="宋体" w:hAnsi="宋体" w:cs="宋体"/>
                <w:bCs/>
                <w:szCs w:val="21"/>
              </w:rPr>
            </w:pPr>
          </w:p>
        </w:tc>
        <w:tc>
          <w:tcPr>
            <w:tcW w:w="1590" w:type="dxa"/>
            <w:tcBorders>
              <w:top w:val="single" w:color="auto" w:sz="4" w:space="0"/>
              <w:left w:val="single" w:color="auto" w:sz="4" w:space="0"/>
              <w:bottom w:val="single" w:color="auto" w:sz="4" w:space="0"/>
              <w:right w:val="single" w:color="auto" w:sz="4" w:space="0"/>
            </w:tcBorders>
            <w:vAlign w:val="center"/>
          </w:tcPr>
          <w:p w14:paraId="37094548">
            <w:pPr>
              <w:ind w:firstLine="210" w:firstLineChars="100"/>
              <w:jc w:val="center"/>
              <w:rPr>
                <w:rFonts w:ascii="宋体" w:hAnsi="宋体" w:cs="宋体"/>
                <w:bCs/>
                <w:szCs w:val="21"/>
              </w:rPr>
            </w:pPr>
          </w:p>
        </w:tc>
      </w:tr>
    </w:tbl>
    <w:p w14:paraId="5DBA44D6">
      <w:pPr>
        <w:pStyle w:val="7"/>
      </w:pPr>
      <w:r>
        <w:rPr>
          <w:rFonts w:hint="eastAsia"/>
        </w:rPr>
        <w:t>常备易耗品</w:t>
      </w:r>
    </w:p>
    <w:tbl>
      <w:tblPr>
        <w:tblStyle w:val="32"/>
        <w:tblW w:w="829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62"/>
        <w:gridCol w:w="1764"/>
        <w:gridCol w:w="1424"/>
        <w:gridCol w:w="1302"/>
        <w:gridCol w:w="1654"/>
        <w:gridCol w:w="1590"/>
      </w:tblGrid>
      <w:tr w14:paraId="5AA211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blHeader/>
          <w:jc w:val="center"/>
        </w:trPr>
        <w:tc>
          <w:tcPr>
            <w:tcW w:w="562" w:type="dxa"/>
            <w:tcBorders>
              <w:top w:val="single" w:color="auto" w:sz="4" w:space="0"/>
              <w:left w:val="single" w:color="auto" w:sz="4" w:space="0"/>
              <w:bottom w:val="single" w:color="auto" w:sz="4" w:space="0"/>
              <w:right w:val="single" w:color="auto" w:sz="4" w:space="0"/>
            </w:tcBorders>
            <w:vAlign w:val="center"/>
          </w:tcPr>
          <w:p w14:paraId="52323F9F">
            <w:pPr>
              <w:jc w:val="center"/>
              <w:rPr>
                <w:rFonts w:ascii="宋体" w:hAnsi="宋体" w:cs="宋体"/>
                <w:b/>
                <w:bCs/>
                <w:szCs w:val="21"/>
              </w:rPr>
            </w:pPr>
            <w:r>
              <w:rPr>
                <w:rFonts w:hint="eastAsia" w:ascii="宋体" w:hAnsi="宋体" w:cs="宋体"/>
                <w:b/>
                <w:bCs/>
                <w:szCs w:val="21"/>
              </w:rPr>
              <w:t>序</w:t>
            </w:r>
          </w:p>
          <w:p w14:paraId="11E9CFA5">
            <w:pPr>
              <w:jc w:val="center"/>
              <w:rPr>
                <w:rFonts w:ascii="宋体" w:hAnsi="宋体" w:cs="宋体"/>
                <w:b/>
                <w:bCs/>
                <w:szCs w:val="21"/>
              </w:rPr>
            </w:pPr>
            <w:r>
              <w:rPr>
                <w:rFonts w:hint="eastAsia" w:ascii="宋体" w:hAnsi="宋体" w:cs="宋体"/>
                <w:b/>
                <w:bCs/>
                <w:szCs w:val="21"/>
              </w:rPr>
              <w:t>号</w:t>
            </w:r>
          </w:p>
        </w:tc>
        <w:tc>
          <w:tcPr>
            <w:tcW w:w="1764" w:type="dxa"/>
            <w:tcBorders>
              <w:top w:val="single" w:color="auto" w:sz="4" w:space="0"/>
              <w:left w:val="single" w:color="auto" w:sz="4" w:space="0"/>
              <w:bottom w:val="single" w:color="auto" w:sz="4" w:space="0"/>
              <w:right w:val="single" w:color="auto" w:sz="4" w:space="0"/>
            </w:tcBorders>
            <w:vAlign w:val="center"/>
          </w:tcPr>
          <w:p w14:paraId="78765B5B">
            <w:pPr>
              <w:jc w:val="center"/>
              <w:rPr>
                <w:rFonts w:ascii="宋体" w:hAnsi="宋体" w:cs="宋体"/>
                <w:b/>
                <w:bCs/>
                <w:szCs w:val="21"/>
              </w:rPr>
            </w:pPr>
            <w:r>
              <w:rPr>
                <w:rFonts w:hint="eastAsia" w:ascii="宋体" w:hAnsi="宋体" w:cs="宋体"/>
                <w:b/>
                <w:bCs/>
                <w:szCs w:val="21"/>
              </w:rPr>
              <w:t>名称</w:t>
            </w:r>
          </w:p>
        </w:tc>
        <w:tc>
          <w:tcPr>
            <w:tcW w:w="1424" w:type="dxa"/>
            <w:tcBorders>
              <w:top w:val="single" w:color="auto" w:sz="4" w:space="0"/>
              <w:left w:val="single" w:color="auto" w:sz="4" w:space="0"/>
              <w:bottom w:val="single" w:color="auto" w:sz="4" w:space="0"/>
              <w:right w:val="single" w:color="auto" w:sz="4" w:space="0"/>
            </w:tcBorders>
            <w:vAlign w:val="center"/>
          </w:tcPr>
          <w:p w14:paraId="0A1F394B">
            <w:pPr>
              <w:jc w:val="center"/>
              <w:rPr>
                <w:rFonts w:ascii="宋体" w:hAnsi="宋体" w:cs="宋体"/>
                <w:b/>
                <w:bCs/>
                <w:szCs w:val="21"/>
              </w:rPr>
            </w:pPr>
            <w:r>
              <w:rPr>
                <w:rFonts w:hint="eastAsia" w:ascii="宋体" w:hAnsi="宋体" w:cs="宋体"/>
                <w:b/>
                <w:bCs/>
                <w:szCs w:val="21"/>
              </w:rPr>
              <w:t>规格型号</w:t>
            </w:r>
          </w:p>
        </w:tc>
        <w:tc>
          <w:tcPr>
            <w:tcW w:w="1302" w:type="dxa"/>
            <w:tcBorders>
              <w:top w:val="single" w:color="auto" w:sz="4" w:space="0"/>
              <w:left w:val="single" w:color="auto" w:sz="4" w:space="0"/>
              <w:bottom w:val="single" w:color="auto" w:sz="4" w:space="0"/>
              <w:right w:val="single" w:color="auto" w:sz="4" w:space="0"/>
            </w:tcBorders>
            <w:vAlign w:val="center"/>
          </w:tcPr>
          <w:p w14:paraId="105B4F53">
            <w:pPr>
              <w:jc w:val="center"/>
              <w:rPr>
                <w:rFonts w:ascii="宋体" w:hAnsi="宋体" w:cs="宋体"/>
                <w:b/>
                <w:bCs/>
                <w:szCs w:val="21"/>
              </w:rPr>
            </w:pPr>
            <w:r>
              <w:rPr>
                <w:rFonts w:hint="eastAsia" w:ascii="宋体" w:hAnsi="宋体" w:cs="宋体"/>
                <w:b/>
                <w:bCs/>
                <w:szCs w:val="21"/>
              </w:rPr>
              <w:t>招标数量要求</w:t>
            </w:r>
          </w:p>
          <w:p w14:paraId="40D00921">
            <w:pPr>
              <w:jc w:val="center"/>
              <w:rPr>
                <w:rFonts w:ascii="宋体" w:hAnsi="宋体" w:cs="宋体"/>
                <w:b/>
                <w:bCs/>
                <w:szCs w:val="21"/>
              </w:rPr>
            </w:pPr>
            <w:r>
              <w:rPr>
                <w:rFonts w:hint="eastAsia" w:ascii="宋体" w:hAnsi="宋体" w:cs="宋体"/>
                <w:b/>
                <w:bCs/>
                <w:szCs w:val="21"/>
              </w:rPr>
              <w:t>(套/台)</w:t>
            </w:r>
          </w:p>
        </w:tc>
        <w:tc>
          <w:tcPr>
            <w:tcW w:w="1654" w:type="dxa"/>
            <w:tcBorders>
              <w:top w:val="single" w:color="auto" w:sz="4" w:space="0"/>
              <w:left w:val="single" w:color="auto" w:sz="4" w:space="0"/>
              <w:bottom w:val="single" w:color="auto" w:sz="4" w:space="0"/>
              <w:right w:val="single" w:color="auto" w:sz="4" w:space="0"/>
            </w:tcBorders>
          </w:tcPr>
          <w:p w14:paraId="2853F8E9">
            <w:pPr>
              <w:ind w:firstLine="211" w:firstLineChars="100"/>
              <w:jc w:val="center"/>
              <w:rPr>
                <w:rFonts w:ascii="宋体" w:hAnsi="宋体" w:cs="宋体"/>
                <w:b/>
                <w:bCs/>
                <w:szCs w:val="21"/>
              </w:rPr>
            </w:pPr>
            <w:r>
              <w:rPr>
                <w:rFonts w:hint="eastAsia" w:ascii="宋体" w:hAnsi="宋体" w:cs="宋体"/>
                <w:b/>
                <w:bCs/>
                <w:szCs w:val="21"/>
              </w:rPr>
              <w:t>投标数量</w:t>
            </w:r>
          </w:p>
          <w:p w14:paraId="2A931520">
            <w:pPr>
              <w:ind w:firstLine="211" w:firstLineChars="100"/>
              <w:jc w:val="center"/>
              <w:rPr>
                <w:rFonts w:ascii="宋体" w:hAnsi="宋体" w:cs="宋体"/>
                <w:b/>
                <w:bCs/>
                <w:szCs w:val="21"/>
              </w:rPr>
            </w:pPr>
            <w:r>
              <w:rPr>
                <w:rFonts w:hint="eastAsia" w:ascii="宋体" w:hAnsi="宋体" w:cs="宋体"/>
                <w:b/>
                <w:bCs/>
                <w:szCs w:val="21"/>
              </w:rPr>
              <w:t>(套/台)</w:t>
            </w:r>
          </w:p>
        </w:tc>
        <w:tc>
          <w:tcPr>
            <w:tcW w:w="1590" w:type="dxa"/>
            <w:tcBorders>
              <w:top w:val="single" w:color="auto" w:sz="4" w:space="0"/>
              <w:left w:val="single" w:color="auto" w:sz="4" w:space="0"/>
              <w:bottom w:val="single" w:color="auto" w:sz="4" w:space="0"/>
              <w:right w:val="single" w:color="auto" w:sz="4" w:space="0"/>
            </w:tcBorders>
            <w:vAlign w:val="center"/>
          </w:tcPr>
          <w:p w14:paraId="11BE5563">
            <w:pPr>
              <w:ind w:firstLine="211" w:firstLineChars="100"/>
              <w:jc w:val="center"/>
              <w:rPr>
                <w:rFonts w:ascii="宋体" w:hAnsi="宋体" w:cs="宋体"/>
                <w:b/>
                <w:bCs/>
                <w:szCs w:val="21"/>
              </w:rPr>
            </w:pPr>
            <w:r>
              <w:rPr>
                <w:rFonts w:hint="eastAsia" w:ascii="宋体" w:hAnsi="宋体" w:cs="宋体"/>
                <w:b/>
                <w:bCs/>
                <w:szCs w:val="21"/>
              </w:rPr>
              <w:t>备注</w:t>
            </w:r>
          </w:p>
        </w:tc>
      </w:tr>
      <w:tr w14:paraId="037729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62" w:type="dxa"/>
            <w:tcBorders>
              <w:top w:val="single" w:color="auto" w:sz="4" w:space="0"/>
              <w:left w:val="single" w:color="auto" w:sz="4" w:space="0"/>
              <w:bottom w:val="single" w:color="auto" w:sz="4" w:space="0"/>
              <w:right w:val="single" w:color="auto" w:sz="4" w:space="0"/>
            </w:tcBorders>
            <w:vAlign w:val="center"/>
          </w:tcPr>
          <w:p w14:paraId="4D72314A">
            <w:pPr>
              <w:jc w:val="center"/>
              <w:rPr>
                <w:rFonts w:ascii="宋体" w:hAnsi="宋体" w:cs="宋体"/>
                <w:bCs/>
                <w:szCs w:val="21"/>
              </w:rPr>
            </w:pPr>
            <w:r>
              <w:rPr>
                <w:rFonts w:hint="eastAsia" w:ascii="宋体" w:hAnsi="宋体" w:cs="宋体"/>
                <w:bCs/>
                <w:szCs w:val="21"/>
              </w:rPr>
              <w:t>1</w:t>
            </w:r>
          </w:p>
        </w:tc>
        <w:tc>
          <w:tcPr>
            <w:tcW w:w="1764" w:type="dxa"/>
            <w:tcBorders>
              <w:top w:val="single" w:color="auto" w:sz="4" w:space="0"/>
              <w:left w:val="single" w:color="auto" w:sz="4" w:space="0"/>
              <w:bottom w:val="single" w:color="auto" w:sz="4" w:space="0"/>
              <w:right w:val="single" w:color="auto" w:sz="4" w:space="0"/>
            </w:tcBorders>
            <w:vAlign w:val="center"/>
          </w:tcPr>
          <w:p w14:paraId="0B49EF98">
            <w:pPr>
              <w:jc w:val="center"/>
              <w:rPr>
                <w:rFonts w:ascii="宋体" w:hAnsi="宋体" w:cs="宋体"/>
                <w:bCs/>
                <w:szCs w:val="21"/>
              </w:rPr>
            </w:pPr>
          </w:p>
        </w:tc>
        <w:tc>
          <w:tcPr>
            <w:tcW w:w="1424" w:type="dxa"/>
            <w:tcBorders>
              <w:top w:val="single" w:color="auto" w:sz="4" w:space="0"/>
              <w:left w:val="single" w:color="auto" w:sz="4" w:space="0"/>
              <w:bottom w:val="single" w:color="auto" w:sz="4" w:space="0"/>
              <w:right w:val="single" w:color="auto" w:sz="4" w:space="0"/>
            </w:tcBorders>
            <w:vAlign w:val="center"/>
          </w:tcPr>
          <w:p w14:paraId="2AB5299D">
            <w:pPr>
              <w:tabs>
                <w:tab w:val="left" w:pos="4102"/>
                <w:tab w:val="right" w:pos="4402"/>
              </w:tabs>
              <w:jc w:val="center"/>
              <w:rPr>
                <w:rFonts w:ascii="宋体" w:hAnsi="宋体" w:cs="宋体"/>
                <w:szCs w:val="21"/>
              </w:rPr>
            </w:pPr>
          </w:p>
        </w:tc>
        <w:tc>
          <w:tcPr>
            <w:tcW w:w="1302" w:type="dxa"/>
            <w:tcBorders>
              <w:top w:val="single" w:color="auto" w:sz="4" w:space="0"/>
              <w:left w:val="single" w:color="auto" w:sz="4" w:space="0"/>
              <w:bottom w:val="single" w:color="auto" w:sz="4" w:space="0"/>
              <w:right w:val="single" w:color="auto" w:sz="4" w:space="0"/>
            </w:tcBorders>
            <w:vAlign w:val="center"/>
          </w:tcPr>
          <w:p w14:paraId="600E8D29">
            <w:pPr>
              <w:tabs>
                <w:tab w:val="left" w:pos="4102"/>
                <w:tab w:val="right" w:pos="4402"/>
              </w:tabs>
              <w:jc w:val="center"/>
              <w:rPr>
                <w:rFonts w:ascii="宋体" w:hAnsi="宋体" w:cs="宋体"/>
                <w:szCs w:val="21"/>
              </w:rPr>
            </w:pPr>
          </w:p>
        </w:tc>
        <w:tc>
          <w:tcPr>
            <w:tcW w:w="1654" w:type="dxa"/>
            <w:tcBorders>
              <w:top w:val="single" w:color="auto" w:sz="4" w:space="0"/>
              <w:left w:val="single" w:color="auto" w:sz="4" w:space="0"/>
              <w:bottom w:val="single" w:color="auto" w:sz="4" w:space="0"/>
              <w:right w:val="single" w:color="auto" w:sz="4" w:space="0"/>
            </w:tcBorders>
          </w:tcPr>
          <w:p w14:paraId="3BC0C9FD">
            <w:pPr>
              <w:ind w:firstLine="210" w:firstLineChars="100"/>
              <w:jc w:val="center"/>
              <w:rPr>
                <w:rFonts w:ascii="宋体" w:hAnsi="宋体" w:cs="宋体"/>
                <w:bCs/>
                <w:szCs w:val="21"/>
              </w:rPr>
            </w:pPr>
          </w:p>
        </w:tc>
        <w:tc>
          <w:tcPr>
            <w:tcW w:w="1590" w:type="dxa"/>
            <w:tcBorders>
              <w:top w:val="single" w:color="auto" w:sz="4" w:space="0"/>
              <w:left w:val="single" w:color="auto" w:sz="4" w:space="0"/>
              <w:bottom w:val="single" w:color="auto" w:sz="4" w:space="0"/>
              <w:right w:val="single" w:color="auto" w:sz="4" w:space="0"/>
            </w:tcBorders>
            <w:vAlign w:val="center"/>
          </w:tcPr>
          <w:p w14:paraId="75DE7ABA">
            <w:pPr>
              <w:ind w:firstLine="210" w:firstLineChars="100"/>
              <w:jc w:val="center"/>
              <w:rPr>
                <w:rFonts w:ascii="宋体" w:hAnsi="宋体" w:cs="宋体"/>
                <w:bCs/>
                <w:szCs w:val="21"/>
              </w:rPr>
            </w:pPr>
          </w:p>
        </w:tc>
      </w:tr>
      <w:tr w14:paraId="4EC54A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62" w:type="dxa"/>
            <w:tcBorders>
              <w:top w:val="single" w:color="auto" w:sz="4" w:space="0"/>
              <w:left w:val="single" w:color="auto" w:sz="4" w:space="0"/>
              <w:bottom w:val="single" w:color="auto" w:sz="4" w:space="0"/>
              <w:right w:val="single" w:color="auto" w:sz="4" w:space="0"/>
            </w:tcBorders>
            <w:vAlign w:val="center"/>
          </w:tcPr>
          <w:p w14:paraId="114AD294">
            <w:pPr>
              <w:jc w:val="center"/>
              <w:rPr>
                <w:rFonts w:ascii="宋体" w:hAnsi="宋体" w:cs="宋体"/>
                <w:bCs/>
                <w:szCs w:val="21"/>
              </w:rPr>
            </w:pPr>
            <w:r>
              <w:rPr>
                <w:rFonts w:hint="eastAsia" w:ascii="宋体" w:hAnsi="宋体" w:cs="宋体"/>
                <w:bCs/>
                <w:szCs w:val="21"/>
              </w:rPr>
              <w:t>2</w:t>
            </w:r>
          </w:p>
        </w:tc>
        <w:tc>
          <w:tcPr>
            <w:tcW w:w="1764" w:type="dxa"/>
            <w:tcBorders>
              <w:top w:val="single" w:color="auto" w:sz="4" w:space="0"/>
              <w:left w:val="single" w:color="auto" w:sz="4" w:space="0"/>
              <w:bottom w:val="single" w:color="auto" w:sz="4" w:space="0"/>
              <w:right w:val="single" w:color="auto" w:sz="4" w:space="0"/>
            </w:tcBorders>
            <w:vAlign w:val="center"/>
          </w:tcPr>
          <w:p w14:paraId="5F585D82">
            <w:pPr>
              <w:jc w:val="center"/>
              <w:rPr>
                <w:rFonts w:ascii="宋体" w:hAnsi="宋体" w:cs="宋体"/>
                <w:bCs/>
                <w:szCs w:val="21"/>
              </w:rPr>
            </w:pPr>
          </w:p>
        </w:tc>
        <w:tc>
          <w:tcPr>
            <w:tcW w:w="1424" w:type="dxa"/>
            <w:tcBorders>
              <w:top w:val="single" w:color="auto" w:sz="4" w:space="0"/>
              <w:left w:val="single" w:color="auto" w:sz="4" w:space="0"/>
              <w:bottom w:val="single" w:color="auto" w:sz="4" w:space="0"/>
              <w:right w:val="single" w:color="auto" w:sz="4" w:space="0"/>
            </w:tcBorders>
            <w:vAlign w:val="center"/>
          </w:tcPr>
          <w:p w14:paraId="3FEFC8F8">
            <w:pPr>
              <w:tabs>
                <w:tab w:val="left" w:pos="4102"/>
                <w:tab w:val="right" w:pos="4402"/>
              </w:tabs>
              <w:jc w:val="center"/>
              <w:rPr>
                <w:rFonts w:ascii="宋体" w:hAnsi="宋体" w:cs="宋体"/>
                <w:szCs w:val="21"/>
              </w:rPr>
            </w:pPr>
          </w:p>
        </w:tc>
        <w:tc>
          <w:tcPr>
            <w:tcW w:w="1302" w:type="dxa"/>
            <w:tcBorders>
              <w:top w:val="single" w:color="auto" w:sz="4" w:space="0"/>
              <w:left w:val="single" w:color="auto" w:sz="4" w:space="0"/>
              <w:bottom w:val="single" w:color="auto" w:sz="4" w:space="0"/>
              <w:right w:val="single" w:color="auto" w:sz="4" w:space="0"/>
            </w:tcBorders>
            <w:vAlign w:val="center"/>
          </w:tcPr>
          <w:p w14:paraId="79BF1D31">
            <w:pPr>
              <w:tabs>
                <w:tab w:val="left" w:pos="4102"/>
                <w:tab w:val="right" w:pos="4402"/>
              </w:tabs>
              <w:jc w:val="center"/>
              <w:rPr>
                <w:rFonts w:ascii="宋体" w:hAnsi="宋体" w:cs="宋体"/>
                <w:szCs w:val="21"/>
              </w:rPr>
            </w:pPr>
          </w:p>
        </w:tc>
        <w:tc>
          <w:tcPr>
            <w:tcW w:w="1654" w:type="dxa"/>
            <w:tcBorders>
              <w:top w:val="single" w:color="auto" w:sz="4" w:space="0"/>
              <w:left w:val="single" w:color="auto" w:sz="4" w:space="0"/>
              <w:bottom w:val="single" w:color="auto" w:sz="4" w:space="0"/>
              <w:right w:val="single" w:color="auto" w:sz="4" w:space="0"/>
            </w:tcBorders>
          </w:tcPr>
          <w:p w14:paraId="75AE2350">
            <w:pPr>
              <w:jc w:val="center"/>
              <w:rPr>
                <w:rFonts w:ascii="宋体" w:hAnsi="宋体" w:cs="宋体"/>
                <w:bCs/>
                <w:szCs w:val="21"/>
              </w:rPr>
            </w:pPr>
          </w:p>
        </w:tc>
        <w:tc>
          <w:tcPr>
            <w:tcW w:w="1590" w:type="dxa"/>
            <w:tcBorders>
              <w:top w:val="single" w:color="auto" w:sz="4" w:space="0"/>
              <w:left w:val="single" w:color="auto" w:sz="4" w:space="0"/>
              <w:bottom w:val="single" w:color="auto" w:sz="4" w:space="0"/>
              <w:right w:val="single" w:color="auto" w:sz="4" w:space="0"/>
            </w:tcBorders>
            <w:vAlign w:val="center"/>
          </w:tcPr>
          <w:p w14:paraId="34EBB459">
            <w:pPr>
              <w:jc w:val="center"/>
              <w:rPr>
                <w:rFonts w:ascii="宋体" w:hAnsi="宋体" w:cs="宋体"/>
                <w:bCs/>
                <w:szCs w:val="21"/>
              </w:rPr>
            </w:pPr>
          </w:p>
        </w:tc>
      </w:tr>
      <w:tr w14:paraId="70A6C1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62" w:type="dxa"/>
            <w:tcBorders>
              <w:top w:val="single" w:color="auto" w:sz="4" w:space="0"/>
              <w:left w:val="single" w:color="auto" w:sz="4" w:space="0"/>
              <w:bottom w:val="single" w:color="auto" w:sz="4" w:space="0"/>
              <w:right w:val="single" w:color="auto" w:sz="4" w:space="0"/>
            </w:tcBorders>
            <w:vAlign w:val="center"/>
          </w:tcPr>
          <w:p w14:paraId="12E48223">
            <w:pPr>
              <w:jc w:val="center"/>
              <w:rPr>
                <w:rFonts w:ascii="宋体" w:hAnsi="宋体" w:cs="宋体"/>
                <w:bCs/>
                <w:szCs w:val="21"/>
              </w:rPr>
            </w:pPr>
            <w:r>
              <w:rPr>
                <w:rFonts w:hint="eastAsia" w:ascii="宋体" w:hAnsi="宋体" w:cs="宋体"/>
                <w:bCs/>
                <w:szCs w:val="21"/>
              </w:rPr>
              <w:t>3</w:t>
            </w:r>
          </w:p>
        </w:tc>
        <w:tc>
          <w:tcPr>
            <w:tcW w:w="1764" w:type="dxa"/>
            <w:tcBorders>
              <w:top w:val="single" w:color="auto" w:sz="4" w:space="0"/>
              <w:left w:val="single" w:color="auto" w:sz="4" w:space="0"/>
              <w:bottom w:val="single" w:color="auto" w:sz="4" w:space="0"/>
              <w:right w:val="single" w:color="auto" w:sz="4" w:space="0"/>
            </w:tcBorders>
            <w:vAlign w:val="center"/>
          </w:tcPr>
          <w:p w14:paraId="5FA89015">
            <w:pPr>
              <w:jc w:val="center"/>
              <w:rPr>
                <w:rFonts w:ascii="宋体" w:hAnsi="宋体" w:cs="宋体"/>
                <w:bCs/>
                <w:szCs w:val="21"/>
              </w:rPr>
            </w:pPr>
          </w:p>
        </w:tc>
        <w:tc>
          <w:tcPr>
            <w:tcW w:w="1424" w:type="dxa"/>
            <w:tcBorders>
              <w:top w:val="single" w:color="auto" w:sz="4" w:space="0"/>
              <w:left w:val="single" w:color="auto" w:sz="4" w:space="0"/>
              <w:bottom w:val="single" w:color="auto" w:sz="4" w:space="0"/>
              <w:right w:val="single" w:color="auto" w:sz="4" w:space="0"/>
            </w:tcBorders>
            <w:vAlign w:val="center"/>
          </w:tcPr>
          <w:p w14:paraId="4AE98552">
            <w:pPr>
              <w:ind w:right="15" w:rightChars="7"/>
              <w:rPr>
                <w:rFonts w:ascii="宋体" w:hAnsi="宋体" w:cs="宋体"/>
                <w:szCs w:val="21"/>
              </w:rPr>
            </w:pPr>
          </w:p>
        </w:tc>
        <w:tc>
          <w:tcPr>
            <w:tcW w:w="1302" w:type="dxa"/>
            <w:tcBorders>
              <w:top w:val="single" w:color="auto" w:sz="4" w:space="0"/>
              <w:left w:val="single" w:color="auto" w:sz="4" w:space="0"/>
              <w:bottom w:val="single" w:color="auto" w:sz="4" w:space="0"/>
              <w:right w:val="single" w:color="auto" w:sz="4" w:space="0"/>
            </w:tcBorders>
            <w:vAlign w:val="center"/>
          </w:tcPr>
          <w:p w14:paraId="5EF83211">
            <w:pPr>
              <w:tabs>
                <w:tab w:val="left" w:pos="4102"/>
                <w:tab w:val="right" w:pos="4402"/>
              </w:tabs>
              <w:jc w:val="center"/>
              <w:rPr>
                <w:rFonts w:ascii="宋体" w:hAnsi="宋体" w:cs="宋体"/>
                <w:szCs w:val="21"/>
              </w:rPr>
            </w:pPr>
          </w:p>
        </w:tc>
        <w:tc>
          <w:tcPr>
            <w:tcW w:w="1654" w:type="dxa"/>
            <w:tcBorders>
              <w:top w:val="single" w:color="auto" w:sz="4" w:space="0"/>
              <w:left w:val="single" w:color="auto" w:sz="4" w:space="0"/>
              <w:bottom w:val="single" w:color="auto" w:sz="4" w:space="0"/>
              <w:right w:val="single" w:color="auto" w:sz="4" w:space="0"/>
            </w:tcBorders>
          </w:tcPr>
          <w:p w14:paraId="6A56BE63">
            <w:pPr>
              <w:jc w:val="center"/>
              <w:rPr>
                <w:rFonts w:ascii="宋体" w:hAnsi="宋体" w:cs="宋体"/>
                <w:bCs/>
                <w:szCs w:val="21"/>
              </w:rPr>
            </w:pPr>
          </w:p>
        </w:tc>
        <w:tc>
          <w:tcPr>
            <w:tcW w:w="1590" w:type="dxa"/>
            <w:tcBorders>
              <w:top w:val="single" w:color="auto" w:sz="4" w:space="0"/>
              <w:left w:val="single" w:color="auto" w:sz="4" w:space="0"/>
              <w:bottom w:val="single" w:color="auto" w:sz="4" w:space="0"/>
              <w:right w:val="single" w:color="auto" w:sz="4" w:space="0"/>
            </w:tcBorders>
            <w:vAlign w:val="center"/>
          </w:tcPr>
          <w:p w14:paraId="7B14CEE5">
            <w:pPr>
              <w:jc w:val="center"/>
              <w:rPr>
                <w:rFonts w:ascii="宋体" w:hAnsi="宋体" w:cs="宋体"/>
                <w:bCs/>
                <w:szCs w:val="21"/>
              </w:rPr>
            </w:pPr>
          </w:p>
        </w:tc>
      </w:tr>
      <w:tr w14:paraId="6E5228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62" w:type="dxa"/>
            <w:tcBorders>
              <w:top w:val="single" w:color="auto" w:sz="4" w:space="0"/>
              <w:left w:val="single" w:color="auto" w:sz="4" w:space="0"/>
              <w:bottom w:val="single" w:color="auto" w:sz="4" w:space="0"/>
              <w:right w:val="single" w:color="auto" w:sz="4" w:space="0"/>
            </w:tcBorders>
            <w:vAlign w:val="center"/>
          </w:tcPr>
          <w:p w14:paraId="6CF37690">
            <w:pPr>
              <w:jc w:val="center"/>
              <w:rPr>
                <w:rFonts w:ascii="宋体" w:hAnsi="宋体" w:cs="宋体"/>
                <w:bCs/>
                <w:szCs w:val="21"/>
              </w:rPr>
            </w:pPr>
            <w:r>
              <w:rPr>
                <w:rFonts w:ascii="宋体" w:hAnsi="宋体" w:cs="宋体"/>
                <w:bCs/>
                <w:szCs w:val="21"/>
              </w:rPr>
              <w:t>…</w:t>
            </w:r>
          </w:p>
        </w:tc>
        <w:tc>
          <w:tcPr>
            <w:tcW w:w="1764" w:type="dxa"/>
            <w:tcBorders>
              <w:top w:val="single" w:color="auto" w:sz="4" w:space="0"/>
              <w:left w:val="single" w:color="auto" w:sz="4" w:space="0"/>
              <w:bottom w:val="single" w:color="auto" w:sz="4" w:space="0"/>
              <w:right w:val="single" w:color="auto" w:sz="4" w:space="0"/>
            </w:tcBorders>
            <w:vAlign w:val="center"/>
          </w:tcPr>
          <w:p w14:paraId="5A7ADB8B">
            <w:pPr>
              <w:jc w:val="center"/>
              <w:rPr>
                <w:rFonts w:ascii="宋体" w:hAnsi="宋体" w:cs="宋体"/>
                <w:bCs/>
                <w:szCs w:val="21"/>
              </w:rPr>
            </w:pPr>
          </w:p>
        </w:tc>
        <w:tc>
          <w:tcPr>
            <w:tcW w:w="1424" w:type="dxa"/>
            <w:tcBorders>
              <w:top w:val="single" w:color="auto" w:sz="4" w:space="0"/>
              <w:left w:val="single" w:color="auto" w:sz="4" w:space="0"/>
              <w:bottom w:val="single" w:color="auto" w:sz="4" w:space="0"/>
              <w:right w:val="single" w:color="auto" w:sz="4" w:space="0"/>
            </w:tcBorders>
            <w:vAlign w:val="center"/>
          </w:tcPr>
          <w:p w14:paraId="2EE2B046">
            <w:pPr>
              <w:ind w:right="15" w:rightChars="7"/>
              <w:rPr>
                <w:rFonts w:ascii="宋体" w:hAnsi="宋体" w:cs="宋体"/>
                <w:szCs w:val="21"/>
              </w:rPr>
            </w:pPr>
          </w:p>
        </w:tc>
        <w:tc>
          <w:tcPr>
            <w:tcW w:w="1302" w:type="dxa"/>
            <w:tcBorders>
              <w:top w:val="single" w:color="auto" w:sz="4" w:space="0"/>
              <w:left w:val="single" w:color="auto" w:sz="4" w:space="0"/>
              <w:bottom w:val="single" w:color="auto" w:sz="4" w:space="0"/>
              <w:right w:val="single" w:color="auto" w:sz="4" w:space="0"/>
            </w:tcBorders>
            <w:vAlign w:val="center"/>
          </w:tcPr>
          <w:p w14:paraId="507DA47B">
            <w:pPr>
              <w:tabs>
                <w:tab w:val="left" w:pos="4102"/>
                <w:tab w:val="right" w:pos="4402"/>
              </w:tabs>
              <w:jc w:val="center"/>
              <w:rPr>
                <w:rFonts w:ascii="宋体" w:hAnsi="宋体" w:cs="宋体"/>
                <w:szCs w:val="21"/>
              </w:rPr>
            </w:pPr>
          </w:p>
        </w:tc>
        <w:tc>
          <w:tcPr>
            <w:tcW w:w="1654" w:type="dxa"/>
            <w:tcBorders>
              <w:top w:val="single" w:color="auto" w:sz="4" w:space="0"/>
              <w:left w:val="single" w:color="auto" w:sz="4" w:space="0"/>
              <w:bottom w:val="single" w:color="auto" w:sz="4" w:space="0"/>
              <w:right w:val="single" w:color="auto" w:sz="4" w:space="0"/>
            </w:tcBorders>
          </w:tcPr>
          <w:p w14:paraId="774ACE31">
            <w:pPr>
              <w:jc w:val="center"/>
              <w:rPr>
                <w:rFonts w:ascii="宋体" w:hAnsi="宋体" w:cs="宋体"/>
                <w:bCs/>
                <w:szCs w:val="21"/>
              </w:rPr>
            </w:pPr>
          </w:p>
        </w:tc>
        <w:tc>
          <w:tcPr>
            <w:tcW w:w="1590" w:type="dxa"/>
            <w:tcBorders>
              <w:top w:val="single" w:color="auto" w:sz="4" w:space="0"/>
              <w:left w:val="single" w:color="auto" w:sz="4" w:space="0"/>
              <w:bottom w:val="single" w:color="auto" w:sz="4" w:space="0"/>
              <w:right w:val="single" w:color="auto" w:sz="4" w:space="0"/>
            </w:tcBorders>
            <w:vAlign w:val="center"/>
          </w:tcPr>
          <w:p w14:paraId="7B9FD4B0">
            <w:pPr>
              <w:jc w:val="center"/>
              <w:rPr>
                <w:rFonts w:ascii="宋体" w:hAnsi="宋体" w:cs="宋体"/>
                <w:bCs/>
                <w:szCs w:val="21"/>
              </w:rPr>
            </w:pPr>
          </w:p>
        </w:tc>
      </w:tr>
    </w:tbl>
    <w:p w14:paraId="4296BF94"/>
    <w:p w14:paraId="691DE963">
      <w:pPr>
        <w:pStyle w:val="3"/>
      </w:pPr>
      <w:bookmarkStart w:id="15" w:name="_Toc24558"/>
      <w:bookmarkStart w:id="16" w:name="_Toc407096344"/>
      <w:r>
        <w:rPr>
          <w:rFonts w:hint="eastAsia"/>
        </w:rPr>
        <w:t>考核及评价</w:t>
      </w:r>
      <w:bookmarkEnd w:id="15"/>
    </w:p>
    <w:p w14:paraId="48C8A30E">
      <w:pPr>
        <w:pStyle w:val="58"/>
        <w:numPr>
          <w:ilvl w:val="0"/>
          <w:numId w:val="3"/>
        </w:numPr>
        <w:tabs>
          <w:tab w:val="left" w:pos="840"/>
          <w:tab w:val="left" w:pos="1050"/>
        </w:tabs>
        <w:spacing w:line="360" w:lineRule="auto"/>
        <w:ind w:left="0" w:firstLine="480"/>
        <w:rPr>
          <w:rFonts w:ascii="宋体" w:hAnsi="宋体" w:cs="宋体"/>
          <w:sz w:val="24"/>
        </w:rPr>
      </w:pPr>
      <w:r>
        <w:rPr>
          <w:rFonts w:hint="eastAsia" w:ascii="宋体" w:hAnsi="宋体" w:cs="宋体"/>
          <w:sz w:val="24"/>
        </w:rPr>
        <w:t>投标人项目经理每月向</w:t>
      </w:r>
      <w:bookmarkEnd w:id="16"/>
      <w:r>
        <w:rPr>
          <w:rFonts w:hint="eastAsia" w:ascii="宋体" w:hAnsi="宋体" w:cs="宋体"/>
          <w:sz w:val="24"/>
        </w:rPr>
        <w:t>招标人提交月度工作计划和月度工作总结。</w:t>
      </w:r>
    </w:p>
    <w:p w14:paraId="4FFC11E0">
      <w:pPr>
        <w:pStyle w:val="58"/>
        <w:numPr>
          <w:ilvl w:val="0"/>
          <w:numId w:val="3"/>
        </w:numPr>
        <w:tabs>
          <w:tab w:val="left" w:pos="840"/>
          <w:tab w:val="left" w:pos="1050"/>
        </w:tabs>
        <w:spacing w:line="360" w:lineRule="auto"/>
        <w:ind w:left="0" w:firstLine="480"/>
        <w:rPr>
          <w:rFonts w:ascii="宋体" w:hAnsi="宋体" w:cs="宋体"/>
          <w:sz w:val="24"/>
        </w:rPr>
      </w:pPr>
      <w:r>
        <w:rPr>
          <w:rFonts w:hint="eastAsia" w:ascii="宋体" w:hAnsi="宋体" w:cs="宋体"/>
          <w:sz w:val="24"/>
        </w:rPr>
        <w:t>招标人按《</w:t>
      </w:r>
      <w:r>
        <w:rPr>
          <w:rFonts w:hint="eastAsia" w:ascii="宋体" w:hAnsi="宋体" w:cs="宋体"/>
          <w:sz w:val="24"/>
          <w:lang w:val="en-US" w:eastAsia="zh-CN"/>
        </w:rPr>
        <w:t>泸州泸燊新能源有限公司</w:t>
      </w:r>
      <w:r>
        <w:rPr>
          <w:rFonts w:hint="eastAsia" w:ascii="宋体" w:hAnsi="宋体" w:cs="宋体"/>
          <w:sz w:val="24"/>
        </w:rPr>
        <w:t>检修维护单位月度考评细则》，每月对投标人进行考评，每季度向公司提出奖罚意见。</w:t>
      </w:r>
    </w:p>
    <w:p w14:paraId="58A87234">
      <w:pPr>
        <w:pStyle w:val="58"/>
        <w:numPr>
          <w:ilvl w:val="0"/>
          <w:numId w:val="3"/>
        </w:numPr>
        <w:tabs>
          <w:tab w:val="left" w:pos="840"/>
          <w:tab w:val="left" w:pos="1050"/>
        </w:tabs>
        <w:spacing w:line="360" w:lineRule="auto"/>
        <w:ind w:left="0" w:firstLine="480"/>
        <w:rPr>
          <w:rFonts w:ascii="宋体" w:hAnsi="宋体" w:cs="宋体"/>
          <w:sz w:val="24"/>
        </w:rPr>
      </w:pPr>
      <w:r>
        <w:rPr>
          <w:rFonts w:hint="eastAsia" w:ascii="宋体" w:hAnsi="宋体" w:cs="宋体"/>
          <w:sz w:val="24"/>
        </w:rPr>
        <w:t>按月考核，按季度付合同款。</w:t>
      </w:r>
    </w:p>
    <w:p w14:paraId="7801B259">
      <w:pPr>
        <w:pStyle w:val="58"/>
        <w:numPr>
          <w:ilvl w:val="0"/>
          <w:numId w:val="3"/>
        </w:numPr>
        <w:tabs>
          <w:tab w:val="left" w:pos="840"/>
          <w:tab w:val="left" w:pos="1050"/>
        </w:tabs>
        <w:spacing w:line="360" w:lineRule="auto"/>
        <w:ind w:left="0" w:firstLine="480"/>
      </w:pPr>
      <w:r>
        <w:rPr>
          <w:rFonts w:hint="eastAsia" w:ascii="宋体" w:hAnsi="宋体" w:cs="宋体"/>
          <w:sz w:val="24"/>
        </w:rPr>
        <w:t>年度考评不合格，或者发生人身、设备事故且整改不到位的，终止合同执行。由于投保人原因发生较大以上事故，或2年内发生2起及以上事故的，终止合同执行。</w:t>
      </w:r>
    </w:p>
    <w:p w14:paraId="30B770EC"/>
    <w:p w14:paraId="6CF9F5F7">
      <w:pPr>
        <w:pStyle w:val="66"/>
        <w:numPr>
          <w:ilvl w:val="255"/>
          <w:numId w:val="0"/>
        </w:numPr>
      </w:pPr>
    </w:p>
    <w:sectPr>
      <w:footerReference r:id="rId7" w:type="first"/>
      <w:footerReference r:id="rId6" w:type="default"/>
      <w:pgSz w:w="11906" w:h="16838"/>
      <w:pgMar w:top="1440" w:right="1800" w:bottom="1440" w:left="1800" w:header="851" w:footer="992" w:gutter="0"/>
      <w:pgNumType w:fmt="decimal" w:start="1"/>
      <w:cols w:space="720"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新宋体￠....">
    <w:altName w:val="新宋体"/>
    <w:panose1 w:val="00000000000000000000"/>
    <w:charset w:val="86"/>
    <w:family w:val="roman"/>
    <w:pitch w:val="default"/>
    <w:sig w:usb0="00000000" w:usb1="00000000" w:usb2="00000010" w:usb3="00000000" w:csb0="00040000" w:csb1="00000000"/>
  </w:font>
  <w:font w:name="微软雅黑">
    <w:panose1 w:val="020B0503020204020204"/>
    <w:charset w:val="86"/>
    <w:family w:val="auto"/>
    <w:pitch w:val="default"/>
    <w:sig w:usb0="80000287" w:usb1="2ACF3C50" w:usb2="00000016" w:usb3="00000000" w:csb0="0004001F" w:csb1="00000000"/>
  </w:font>
  <w:font w:name="新宋体">
    <w:panose1 w:val="02010609030101010101"/>
    <w:charset w:val="86"/>
    <w:family w:val="auto"/>
    <w:pitch w:val="default"/>
    <w:sig w:usb0="00000203" w:usb1="288F0000" w:usb2="0000000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ED036D8">
    <w:pPr>
      <w:pStyle w:val="23"/>
      <w:jc w:val="center"/>
    </w:pPr>
    <w:r>
      <w:fldChar w:fldCharType="begin"/>
    </w:r>
    <w:r>
      <w:instrText xml:space="preserve"> PAGE   \* MERGEFORMAT </w:instrText>
    </w:r>
    <w:r>
      <w:fldChar w:fldCharType="separate"/>
    </w:r>
    <w:r>
      <w:rPr>
        <w:lang w:val="zh-CN"/>
      </w:rPr>
      <w:t>47</w:t>
    </w:r>
    <w:r>
      <w:rPr>
        <w:lang w:val="zh-CN"/>
      </w:rP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4BFDCC4">
    <w:pPr>
      <w:pStyle w:val="23"/>
      <w:jc w:val="cente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635688A">
                          <w:pPr>
                            <w:pStyle w:val="23"/>
                            <w:jc w:val="center"/>
                          </w:pPr>
                          <w:r>
                            <w:fldChar w:fldCharType="begin"/>
                          </w:r>
                          <w:r>
                            <w:instrText xml:space="preserve"> PAGE   \* MERGEFORMAT </w:instrText>
                          </w:r>
                          <w:r>
                            <w:fldChar w:fldCharType="separate"/>
                          </w:r>
                          <w:r>
                            <w:rPr>
                              <w:lang w:val="zh-CN"/>
                            </w:rPr>
                            <w:t>47</w:t>
                          </w:r>
                          <w:r>
                            <w:rPr>
                              <w:lang w:val="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2635688A">
                    <w:pPr>
                      <w:pStyle w:val="23"/>
                      <w:jc w:val="center"/>
                    </w:pPr>
                    <w:r>
                      <w:fldChar w:fldCharType="begin"/>
                    </w:r>
                    <w:r>
                      <w:instrText xml:space="preserve"> PAGE   \* MERGEFORMAT </w:instrText>
                    </w:r>
                    <w:r>
                      <w:fldChar w:fldCharType="separate"/>
                    </w:r>
                    <w:r>
                      <w:rPr>
                        <w:lang w:val="zh-CN"/>
                      </w:rPr>
                      <w:t>47</w:t>
                    </w:r>
                    <w:r>
                      <w:rPr>
                        <w:lang w:val="zh-CN"/>
                      </w:rP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5FA87AA">
    <w:pPr>
      <w:pStyle w:val="23"/>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8A461C1">
                          <w:pPr>
                            <w:pStyle w:val="23"/>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14:paraId="08A461C1">
                    <w:pPr>
                      <w:pStyle w:val="23"/>
                    </w:pPr>
                    <w:r>
                      <w:fldChar w:fldCharType="begin"/>
                    </w:r>
                    <w:r>
                      <w:instrText xml:space="preserve"> PAGE  \* MERGEFORMAT </w:instrText>
                    </w:r>
                    <w:r>
                      <w:fldChar w:fldCharType="separate"/>
                    </w:r>
                    <w:r>
                      <w:t>1</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C7291D5">
    <w:pPr>
      <w:pBdr>
        <w:bottom w:val="single" w:color="auto" w:sz="4" w:space="1"/>
      </w:pBdr>
      <w:jc w:val="left"/>
      <w:rPr>
        <w:rFonts w:hint="default" w:ascii="宋体" w:hAnsi="宋体" w:eastAsia="宋体" w:cs="宋体"/>
        <w:i w:val="0"/>
        <w:iCs/>
        <w:kern w:val="10"/>
        <w:sz w:val="18"/>
        <w:szCs w:val="18"/>
        <w:lang w:val="en-US" w:eastAsia="zh-CN"/>
      </w:rPr>
    </w:pPr>
    <w:r>
      <w:rPr>
        <w:rFonts w:hint="eastAsia"/>
        <w:i w:val="0"/>
        <w:iCs/>
        <w:sz w:val="18"/>
        <w:szCs w:val="18"/>
        <w:lang w:val="en-US" w:eastAsia="zh-CN"/>
      </w:rPr>
      <w:t>泸州市泸燊新能源</w:t>
    </w:r>
    <w:r>
      <w:rPr>
        <w:rFonts w:hint="eastAsia"/>
        <w:i w:val="0"/>
        <w:iCs/>
        <w:sz w:val="18"/>
        <w:szCs w:val="18"/>
      </w:rPr>
      <w:t xml:space="preserve">有限公司 </w:t>
    </w:r>
    <w:r>
      <w:rPr>
        <w:rFonts w:hint="eastAsia"/>
        <w:i w:val="0"/>
        <w:iCs/>
        <w:sz w:val="18"/>
        <w:szCs w:val="18"/>
        <w:lang w:val="en-US" w:eastAsia="zh-CN"/>
      </w:rPr>
      <w:t xml:space="preserve">                                              日常维护技术规范书</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0DE7F3F">
    <w:pPr>
      <w:pStyle w:val="24"/>
      <w:pBdr>
        <w:bottom w:val="none" w:color="auto" w:sz="0" w:space="1"/>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437A17C"/>
    <w:multiLevelType w:val="multilevel"/>
    <w:tmpl w:val="A437A17C"/>
    <w:lvl w:ilvl="0" w:tentative="0">
      <w:start w:val="1"/>
      <w:numFmt w:val="decimal"/>
      <w:lvlText w:val="%1."/>
      <w:lvlJc w:val="left"/>
      <w:pPr>
        <w:ind w:left="420" w:hanging="420"/>
      </w:pPr>
      <w:rPr>
        <w:rFonts w:hint="eastAsia" w:ascii="宋体" w:hAnsi="宋体" w:eastAsia="宋体"/>
        <w:b w:val="0"/>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
    <w:nsid w:val="69856F1B"/>
    <w:multiLevelType w:val="multilevel"/>
    <w:tmpl w:val="69856F1B"/>
    <w:lvl w:ilvl="0" w:tentative="0">
      <w:start w:val="1"/>
      <w:numFmt w:val="chineseCountingThousand"/>
      <w:pStyle w:val="3"/>
      <w:suff w:val="space"/>
      <w:lvlText w:val="第%1章"/>
      <w:lvlJc w:val="left"/>
      <w:pPr>
        <w:ind w:left="0" w:firstLine="0"/>
      </w:pPr>
      <w:rPr>
        <w:rFonts w:hint="eastAsia"/>
      </w:rPr>
    </w:lvl>
    <w:lvl w:ilvl="1" w:tentative="0">
      <w:start w:val="1"/>
      <w:numFmt w:val="chineseCountingThousand"/>
      <w:pStyle w:val="4"/>
      <w:suff w:val="nothing"/>
      <w:lvlText w:val="%2、"/>
      <w:lvlJc w:val="left"/>
      <w:pPr>
        <w:ind w:left="0" w:firstLine="0"/>
      </w:pPr>
      <w:rPr>
        <w:rFonts w:hint="eastAsia"/>
      </w:rPr>
    </w:lvl>
    <w:lvl w:ilvl="2" w:tentative="0">
      <w:start w:val="1"/>
      <w:numFmt w:val="chineseCountingThousand"/>
      <w:pStyle w:val="5"/>
      <w:suff w:val="nothing"/>
      <w:lvlText w:val="（%3）"/>
      <w:lvlJc w:val="left"/>
      <w:pPr>
        <w:ind w:left="964" w:hanging="113"/>
      </w:pPr>
      <w:rPr>
        <w:rFonts w:hint="eastAsia"/>
      </w:rPr>
    </w:lvl>
    <w:lvl w:ilvl="3" w:tentative="0">
      <w:start w:val="1"/>
      <w:numFmt w:val="decimal"/>
      <w:pStyle w:val="6"/>
      <w:suff w:val="space"/>
      <w:lvlText w:val="%4."/>
      <w:lvlJc w:val="left"/>
      <w:pPr>
        <w:ind w:left="0" w:firstLine="567"/>
      </w:pPr>
      <w:rPr>
        <w:rFonts w:hint="eastAsia"/>
      </w:rPr>
    </w:lvl>
    <w:lvl w:ilvl="4" w:tentative="0">
      <w:start w:val="1"/>
      <w:numFmt w:val="decimal"/>
      <w:pStyle w:val="7"/>
      <w:suff w:val="nothing"/>
      <w:lvlText w:val="（%5）"/>
      <w:lvlJc w:val="left"/>
      <w:pPr>
        <w:ind w:left="0" w:firstLine="454"/>
      </w:pPr>
      <w:rPr>
        <w:rFonts w:hint="eastAsia"/>
      </w:rPr>
    </w:lvl>
    <w:lvl w:ilvl="5" w:tentative="0">
      <w:start w:val="1"/>
      <w:numFmt w:val="decimal"/>
      <w:lvlText w:val="%1.%2.%3.%4.%5.%6"/>
      <w:lvlJc w:val="left"/>
      <w:pPr>
        <w:ind w:left="3260" w:hanging="1134"/>
      </w:pPr>
      <w:rPr>
        <w:rFonts w:hint="eastAsia"/>
      </w:rPr>
    </w:lvl>
    <w:lvl w:ilvl="6" w:tentative="0">
      <w:start w:val="1"/>
      <w:numFmt w:val="decimal"/>
      <w:lvlText w:val="%1.%2.%3.%4.%5.%6.%7"/>
      <w:lvlJc w:val="left"/>
      <w:pPr>
        <w:ind w:left="3827" w:hanging="1276"/>
      </w:pPr>
      <w:rPr>
        <w:rFonts w:hint="eastAsia"/>
      </w:rPr>
    </w:lvl>
    <w:lvl w:ilvl="7" w:tentative="0">
      <w:start w:val="1"/>
      <w:numFmt w:val="decimal"/>
      <w:lvlText w:val="%1.%2.%3.%4.%5.%6.%7.%8"/>
      <w:lvlJc w:val="left"/>
      <w:pPr>
        <w:ind w:left="4394" w:hanging="1418"/>
      </w:pPr>
      <w:rPr>
        <w:rFonts w:hint="eastAsia"/>
      </w:rPr>
    </w:lvl>
    <w:lvl w:ilvl="8" w:tentative="0">
      <w:start w:val="1"/>
      <w:numFmt w:val="decimal"/>
      <w:lvlText w:val="%1.%2.%3.%4.%5.%6.%7.%8.%9"/>
      <w:lvlJc w:val="left"/>
      <w:pPr>
        <w:ind w:left="5102" w:hanging="1700"/>
      </w:pPr>
      <w:rPr>
        <w:rFonts w:hint="eastAsia"/>
      </w:rPr>
    </w:lvl>
  </w:abstractNum>
  <w:abstractNum w:abstractNumId="2">
    <w:nsid w:val="7501FB6A"/>
    <w:multiLevelType w:val="multilevel"/>
    <w:tmpl w:val="7501FB6A"/>
    <w:lvl w:ilvl="0" w:tentative="0">
      <w:start w:val="1"/>
      <w:numFmt w:val="decimal"/>
      <w:lvlText w:val="%1."/>
      <w:lvlJc w:val="left"/>
      <w:pPr>
        <w:ind w:left="420" w:hanging="420"/>
      </w:pPr>
      <w:rPr>
        <w:rFonts w:hint="eastAsia" w:ascii="宋体" w:hAnsi="宋体" w:eastAsia="宋体"/>
        <w:b w:val="0"/>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1"/>
  <w:bordersDoNotSurroundHeader w:val="0"/>
  <w:bordersDoNotSurroundFooter w:val="0"/>
  <w:stylePaneFormatFilter w:val="1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jg0NmE5YjI2YTI2Yjk2OTdiZWU1ODE3YjQyY2U3ZDUifQ=="/>
    <w:docVar w:name="KSO_WPS_MARK_KEY" w:val="b0dce012-b752-43a0-ad9d-5f9c8ea68a8d"/>
  </w:docVars>
  <w:rsids>
    <w:rsidRoot w:val="000F326E"/>
    <w:rsid w:val="00001C55"/>
    <w:rsid w:val="00003D24"/>
    <w:rsid w:val="00012814"/>
    <w:rsid w:val="000156D0"/>
    <w:rsid w:val="000175DD"/>
    <w:rsid w:val="000250AF"/>
    <w:rsid w:val="00026F58"/>
    <w:rsid w:val="000271AC"/>
    <w:rsid w:val="000317F9"/>
    <w:rsid w:val="00033B7F"/>
    <w:rsid w:val="00037F97"/>
    <w:rsid w:val="00044E76"/>
    <w:rsid w:val="00052C48"/>
    <w:rsid w:val="0005358B"/>
    <w:rsid w:val="000573FC"/>
    <w:rsid w:val="0006030E"/>
    <w:rsid w:val="00065AB9"/>
    <w:rsid w:val="00070FC6"/>
    <w:rsid w:val="000773FB"/>
    <w:rsid w:val="000819A7"/>
    <w:rsid w:val="000936B3"/>
    <w:rsid w:val="00093904"/>
    <w:rsid w:val="00093983"/>
    <w:rsid w:val="000A1219"/>
    <w:rsid w:val="000A362A"/>
    <w:rsid w:val="000A6B29"/>
    <w:rsid w:val="000A7BF1"/>
    <w:rsid w:val="000B1331"/>
    <w:rsid w:val="000B1E91"/>
    <w:rsid w:val="000C00D4"/>
    <w:rsid w:val="000C2391"/>
    <w:rsid w:val="000C3B0D"/>
    <w:rsid w:val="000C41B9"/>
    <w:rsid w:val="000C4C97"/>
    <w:rsid w:val="000C5F0D"/>
    <w:rsid w:val="000C62A0"/>
    <w:rsid w:val="000D26BE"/>
    <w:rsid w:val="000D750B"/>
    <w:rsid w:val="000F326E"/>
    <w:rsid w:val="001145BF"/>
    <w:rsid w:val="00123D1D"/>
    <w:rsid w:val="00132DA5"/>
    <w:rsid w:val="001340D5"/>
    <w:rsid w:val="00143AF8"/>
    <w:rsid w:val="0015087D"/>
    <w:rsid w:val="00154B05"/>
    <w:rsid w:val="00161AA0"/>
    <w:rsid w:val="001628BA"/>
    <w:rsid w:val="0016354D"/>
    <w:rsid w:val="00163C2F"/>
    <w:rsid w:val="0016540A"/>
    <w:rsid w:val="0016589A"/>
    <w:rsid w:val="00165F30"/>
    <w:rsid w:val="00170073"/>
    <w:rsid w:val="00172522"/>
    <w:rsid w:val="0017377C"/>
    <w:rsid w:val="001755BA"/>
    <w:rsid w:val="00176951"/>
    <w:rsid w:val="00181C6A"/>
    <w:rsid w:val="0018389C"/>
    <w:rsid w:val="00196392"/>
    <w:rsid w:val="001B1B4D"/>
    <w:rsid w:val="001C63B1"/>
    <w:rsid w:val="001C72E8"/>
    <w:rsid w:val="001D0266"/>
    <w:rsid w:val="001E4FB2"/>
    <w:rsid w:val="001F13A7"/>
    <w:rsid w:val="001F3439"/>
    <w:rsid w:val="001F3CC0"/>
    <w:rsid w:val="001F477A"/>
    <w:rsid w:val="001F78E2"/>
    <w:rsid w:val="00207142"/>
    <w:rsid w:val="00217FF7"/>
    <w:rsid w:val="00223957"/>
    <w:rsid w:val="00232089"/>
    <w:rsid w:val="00233184"/>
    <w:rsid w:val="0023778A"/>
    <w:rsid w:val="00237CEC"/>
    <w:rsid w:val="00240657"/>
    <w:rsid w:val="002407DC"/>
    <w:rsid w:val="00251F51"/>
    <w:rsid w:val="00271C02"/>
    <w:rsid w:val="00272C6C"/>
    <w:rsid w:val="00275F7B"/>
    <w:rsid w:val="0028114D"/>
    <w:rsid w:val="002869F1"/>
    <w:rsid w:val="0029766D"/>
    <w:rsid w:val="002A0526"/>
    <w:rsid w:val="002A0714"/>
    <w:rsid w:val="002A1541"/>
    <w:rsid w:val="002A2300"/>
    <w:rsid w:val="002A4635"/>
    <w:rsid w:val="002B4CBD"/>
    <w:rsid w:val="002C6579"/>
    <w:rsid w:val="002C673D"/>
    <w:rsid w:val="002C6E19"/>
    <w:rsid w:val="002D4B67"/>
    <w:rsid w:val="002E3B63"/>
    <w:rsid w:val="002E42F4"/>
    <w:rsid w:val="002F4FFC"/>
    <w:rsid w:val="00300BB8"/>
    <w:rsid w:val="00311FF6"/>
    <w:rsid w:val="003133F0"/>
    <w:rsid w:val="003160EF"/>
    <w:rsid w:val="003275DA"/>
    <w:rsid w:val="0033097D"/>
    <w:rsid w:val="00333347"/>
    <w:rsid w:val="00334290"/>
    <w:rsid w:val="0033436B"/>
    <w:rsid w:val="003374F6"/>
    <w:rsid w:val="003404F8"/>
    <w:rsid w:val="00355A7A"/>
    <w:rsid w:val="00362043"/>
    <w:rsid w:val="00371544"/>
    <w:rsid w:val="0037546B"/>
    <w:rsid w:val="00386274"/>
    <w:rsid w:val="003925A1"/>
    <w:rsid w:val="00396A3D"/>
    <w:rsid w:val="003A2498"/>
    <w:rsid w:val="003A5372"/>
    <w:rsid w:val="003A5D1D"/>
    <w:rsid w:val="003A6E15"/>
    <w:rsid w:val="003B155C"/>
    <w:rsid w:val="003B68DC"/>
    <w:rsid w:val="003C177F"/>
    <w:rsid w:val="003C3906"/>
    <w:rsid w:val="003C507F"/>
    <w:rsid w:val="003E0E9C"/>
    <w:rsid w:val="003E35F9"/>
    <w:rsid w:val="003E67F7"/>
    <w:rsid w:val="003F4E9A"/>
    <w:rsid w:val="0040067E"/>
    <w:rsid w:val="004154D2"/>
    <w:rsid w:val="00417D3F"/>
    <w:rsid w:val="004224A4"/>
    <w:rsid w:val="0042375A"/>
    <w:rsid w:val="00423877"/>
    <w:rsid w:val="0042394B"/>
    <w:rsid w:val="00425B4F"/>
    <w:rsid w:val="00433458"/>
    <w:rsid w:val="0043437F"/>
    <w:rsid w:val="0045038D"/>
    <w:rsid w:val="00455114"/>
    <w:rsid w:val="0046118C"/>
    <w:rsid w:val="00463F3C"/>
    <w:rsid w:val="004738E0"/>
    <w:rsid w:val="00474158"/>
    <w:rsid w:val="004747D8"/>
    <w:rsid w:val="00476AC3"/>
    <w:rsid w:val="00476DBC"/>
    <w:rsid w:val="00477CD3"/>
    <w:rsid w:val="004809D0"/>
    <w:rsid w:val="00480E71"/>
    <w:rsid w:val="00481D26"/>
    <w:rsid w:val="0049617F"/>
    <w:rsid w:val="004B0524"/>
    <w:rsid w:val="004B0B83"/>
    <w:rsid w:val="004B1D9A"/>
    <w:rsid w:val="004C0F23"/>
    <w:rsid w:val="004C7F6E"/>
    <w:rsid w:val="004E1DFF"/>
    <w:rsid w:val="004F04A1"/>
    <w:rsid w:val="004F3BE5"/>
    <w:rsid w:val="004F4B74"/>
    <w:rsid w:val="004F5730"/>
    <w:rsid w:val="005175DD"/>
    <w:rsid w:val="00532C44"/>
    <w:rsid w:val="00534CE1"/>
    <w:rsid w:val="00540459"/>
    <w:rsid w:val="00540FC0"/>
    <w:rsid w:val="00552854"/>
    <w:rsid w:val="00566878"/>
    <w:rsid w:val="005713CD"/>
    <w:rsid w:val="00580124"/>
    <w:rsid w:val="0058570A"/>
    <w:rsid w:val="005911F3"/>
    <w:rsid w:val="00595575"/>
    <w:rsid w:val="005B13B1"/>
    <w:rsid w:val="005B4790"/>
    <w:rsid w:val="005C0C4B"/>
    <w:rsid w:val="005C19F4"/>
    <w:rsid w:val="005C29DD"/>
    <w:rsid w:val="005C4DC0"/>
    <w:rsid w:val="005C5F7B"/>
    <w:rsid w:val="005D4DED"/>
    <w:rsid w:val="005D7B06"/>
    <w:rsid w:val="005E11EB"/>
    <w:rsid w:val="005E3C4C"/>
    <w:rsid w:val="005E5978"/>
    <w:rsid w:val="005E7EDF"/>
    <w:rsid w:val="005F315A"/>
    <w:rsid w:val="005F5190"/>
    <w:rsid w:val="00606234"/>
    <w:rsid w:val="00607A2A"/>
    <w:rsid w:val="00615552"/>
    <w:rsid w:val="00616826"/>
    <w:rsid w:val="00616873"/>
    <w:rsid w:val="00617F72"/>
    <w:rsid w:val="00624D9A"/>
    <w:rsid w:val="006273A8"/>
    <w:rsid w:val="006321A7"/>
    <w:rsid w:val="0064221F"/>
    <w:rsid w:val="00644FC6"/>
    <w:rsid w:val="00646567"/>
    <w:rsid w:val="006478DB"/>
    <w:rsid w:val="00655C16"/>
    <w:rsid w:val="006577CA"/>
    <w:rsid w:val="006613CF"/>
    <w:rsid w:val="0066470F"/>
    <w:rsid w:val="00665CC2"/>
    <w:rsid w:val="006773F0"/>
    <w:rsid w:val="00680689"/>
    <w:rsid w:val="00681E5B"/>
    <w:rsid w:val="00684F92"/>
    <w:rsid w:val="00690DE5"/>
    <w:rsid w:val="0069268F"/>
    <w:rsid w:val="006A139C"/>
    <w:rsid w:val="006A335C"/>
    <w:rsid w:val="006A6B66"/>
    <w:rsid w:val="006A6F94"/>
    <w:rsid w:val="006B1C45"/>
    <w:rsid w:val="006B5A88"/>
    <w:rsid w:val="006C65CA"/>
    <w:rsid w:val="006D5514"/>
    <w:rsid w:val="006D6B9C"/>
    <w:rsid w:val="006E484D"/>
    <w:rsid w:val="006E7064"/>
    <w:rsid w:val="006F0715"/>
    <w:rsid w:val="006F28B1"/>
    <w:rsid w:val="006F62D7"/>
    <w:rsid w:val="006F7B71"/>
    <w:rsid w:val="00700C54"/>
    <w:rsid w:val="007031E4"/>
    <w:rsid w:val="007167C8"/>
    <w:rsid w:val="007334E2"/>
    <w:rsid w:val="00743331"/>
    <w:rsid w:val="007503B9"/>
    <w:rsid w:val="0075160D"/>
    <w:rsid w:val="007721B4"/>
    <w:rsid w:val="00772591"/>
    <w:rsid w:val="00772CBD"/>
    <w:rsid w:val="00775EE1"/>
    <w:rsid w:val="00793449"/>
    <w:rsid w:val="00794F36"/>
    <w:rsid w:val="0079519D"/>
    <w:rsid w:val="00795D16"/>
    <w:rsid w:val="007A0200"/>
    <w:rsid w:val="007A22AB"/>
    <w:rsid w:val="007A591F"/>
    <w:rsid w:val="007B0025"/>
    <w:rsid w:val="007B2849"/>
    <w:rsid w:val="007B413C"/>
    <w:rsid w:val="007C0174"/>
    <w:rsid w:val="007C1A5E"/>
    <w:rsid w:val="007D1986"/>
    <w:rsid w:val="007D2489"/>
    <w:rsid w:val="007E2378"/>
    <w:rsid w:val="007E310F"/>
    <w:rsid w:val="007E46A2"/>
    <w:rsid w:val="007F0D63"/>
    <w:rsid w:val="007F54A0"/>
    <w:rsid w:val="007F782E"/>
    <w:rsid w:val="00805EF7"/>
    <w:rsid w:val="00810C75"/>
    <w:rsid w:val="0081273D"/>
    <w:rsid w:val="0082171A"/>
    <w:rsid w:val="00824143"/>
    <w:rsid w:val="00825CC8"/>
    <w:rsid w:val="00825DA0"/>
    <w:rsid w:val="00827C84"/>
    <w:rsid w:val="008314B0"/>
    <w:rsid w:val="00855D91"/>
    <w:rsid w:val="00865979"/>
    <w:rsid w:val="00875F92"/>
    <w:rsid w:val="00880862"/>
    <w:rsid w:val="00886B81"/>
    <w:rsid w:val="00887653"/>
    <w:rsid w:val="008A4F84"/>
    <w:rsid w:val="008B6A9D"/>
    <w:rsid w:val="008B7040"/>
    <w:rsid w:val="008C6DF7"/>
    <w:rsid w:val="008D29EE"/>
    <w:rsid w:val="008D3C62"/>
    <w:rsid w:val="008F02EC"/>
    <w:rsid w:val="008F1715"/>
    <w:rsid w:val="009021DF"/>
    <w:rsid w:val="00913CFD"/>
    <w:rsid w:val="009150F9"/>
    <w:rsid w:val="00915867"/>
    <w:rsid w:val="00915AC4"/>
    <w:rsid w:val="00916F53"/>
    <w:rsid w:val="009178F4"/>
    <w:rsid w:val="00926304"/>
    <w:rsid w:val="00926995"/>
    <w:rsid w:val="009272ED"/>
    <w:rsid w:val="009274E9"/>
    <w:rsid w:val="0093080A"/>
    <w:rsid w:val="009426FD"/>
    <w:rsid w:val="00954673"/>
    <w:rsid w:val="00954A84"/>
    <w:rsid w:val="00954D19"/>
    <w:rsid w:val="00956645"/>
    <w:rsid w:val="00973A40"/>
    <w:rsid w:val="00977401"/>
    <w:rsid w:val="0098377A"/>
    <w:rsid w:val="00990262"/>
    <w:rsid w:val="009A2C43"/>
    <w:rsid w:val="009B0A7B"/>
    <w:rsid w:val="009B186F"/>
    <w:rsid w:val="009B2345"/>
    <w:rsid w:val="009B3182"/>
    <w:rsid w:val="009B562F"/>
    <w:rsid w:val="009B63AC"/>
    <w:rsid w:val="009C4BD5"/>
    <w:rsid w:val="009C61E8"/>
    <w:rsid w:val="009D0258"/>
    <w:rsid w:val="009D1578"/>
    <w:rsid w:val="009D5A24"/>
    <w:rsid w:val="009D7896"/>
    <w:rsid w:val="009E0670"/>
    <w:rsid w:val="009E0E2E"/>
    <w:rsid w:val="009E6A00"/>
    <w:rsid w:val="009F0711"/>
    <w:rsid w:val="009F46A5"/>
    <w:rsid w:val="009F711F"/>
    <w:rsid w:val="00A02166"/>
    <w:rsid w:val="00A04E8A"/>
    <w:rsid w:val="00A05543"/>
    <w:rsid w:val="00A05751"/>
    <w:rsid w:val="00A17109"/>
    <w:rsid w:val="00A40646"/>
    <w:rsid w:val="00A4116D"/>
    <w:rsid w:val="00A55F19"/>
    <w:rsid w:val="00A60930"/>
    <w:rsid w:val="00A63EEF"/>
    <w:rsid w:val="00A6547D"/>
    <w:rsid w:val="00A66195"/>
    <w:rsid w:val="00A668F4"/>
    <w:rsid w:val="00A747C5"/>
    <w:rsid w:val="00A81425"/>
    <w:rsid w:val="00A9660A"/>
    <w:rsid w:val="00AA6AD4"/>
    <w:rsid w:val="00AB14F8"/>
    <w:rsid w:val="00AB197B"/>
    <w:rsid w:val="00AB2C1E"/>
    <w:rsid w:val="00AB4BFC"/>
    <w:rsid w:val="00AB69E0"/>
    <w:rsid w:val="00AC0A97"/>
    <w:rsid w:val="00AD5701"/>
    <w:rsid w:val="00AD7E1B"/>
    <w:rsid w:val="00AE2DB5"/>
    <w:rsid w:val="00AE3949"/>
    <w:rsid w:val="00AE5688"/>
    <w:rsid w:val="00AF6D1B"/>
    <w:rsid w:val="00AF741E"/>
    <w:rsid w:val="00AF7C4B"/>
    <w:rsid w:val="00B10B46"/>
    <w:rsid w:val="00B14827"/>
    <w:rsid w:val="00B1677A"/>
    <w:rsid w:val="00B22257"/>
    <w:rsid w:val="00B234C3"/>
    <w:rsid w:val="00B308D3"/>
    <w:rsid w:val="00B30F1E"/>
    <w:rsid w:val="00B32810"/>
    <w:rsid w:val="00B329E2"/>
    <w:rsid w:val="00B3324C"/>
    <w:rsid w:val="00B3789F"/>
    <w:rsid w:val="00B5491C"/>
    <w:rsid w:val="00B62730"/>
    <w:rsid w:val="00B62F89"/>
    <w:rsid w:val="00B63EB8"/>
    <w:rsid w:val="00B74B27"/>
    <w:rsid w:val="00B75B29"/>
    <w:rsid w:val="00B77C6F"/>
    <w:rsid w:val="00B84889"/>
    <w:rsid w:val="00B848D0"/>
    <w:rsid w:val="00B85DD1"/>
    <w:rsid w:val="00B87159"/>
    <w:rsid w:val="00B96860"/>
    <w:rsid w:val="00BA23F6"/>
    <w:rsid w:val="00BA4928"/>
    <w:rsid w:val="00BA626F"/>
    <w:rsid w:val="00BB2402"/>
    <w:rsid w:val="00BD25A4"/>
    <w:rsid w:val="00BD2F2C"/>
    <w:rsid w:val="00BD3719"/>
    <w:rsid w:val="00BD59C2"/>
    <w:rsid w:val="00BD6A7F"/>
    <w:rsid w:val="00BE471A"/>
    <w:rsid w:val="00BF0A34"/>
    <w:rsid w:val="00BF12D5"/>
    <w:rsid w:val="00BF7004"/>
    <w:rsid w:val="00C11D22"/>
    <w:rsid w:val="00C30612"/>
    <w:rsid w:val="00C32988"/>
    <w:rsid w:val="00C36A5D"/>
    <w:rsid w:val="00C4110A"/>
    <w:rsid w:val="00C44806"/>
    <w:rsid w:val="00C47725"/>
    <w:rsid w:val="00C506AA"/>
    <w:rsid w:val="00C56F3C"/>
    <w:rsid w:val="00C623C4"/>
    <w:rsid w:val="00C6600C"/>
    <w:rsid w:val="00C71A92"/>
    <w:rsid w:val="00C727B2"/>
    <w:rsid w:val="00C75DFA"/>
    <w:rsid w:val="00C75FDF"/>
    <w:rsid w:val="00C82F97"/>
    <w:rsid w:val="00C87D21"/>
    <w:rsid w:val="00CA1FEC"/>
    <w:rsid w:val="00CA39B2"/>
    <w:rsid w:val="00CB60D5"/>
    <w:rsid w:val="00CC1B85"/>
    <w:rsid w:val="00CC3582"/>
    <w:rsid w:val="00CC78F1"/>
    <w:rsid w:val="00CD02FA"/>
    <w:rsid w:val="00CD2DFD"/>
    <w:rsid w:val="00CE23A4"/>
    <w:rsid w:val="00CF0663"/>
    <w:rsid w:val="00CF1E6D"/>
    <w:rsid w:val="00CF35B0"/>
    <w:rsid w:val="00CF5DA2"/>
    <w:rsid w:val="00CF7436"/>
    <w:rsid w:val="00D24338"/>
    <w:rsid w:val="00D253B9"/>
    <w:rsid w:val="00D26676"/>
    <w:rsid w:val="00D30BAD"/>
    <w:rsid w:val="00D3169F"/>
    <w:rsid w:val="00D40567"/>
    <w:rsid w:val="00D421E5"/>
    <w:rsid w:val="00D4568C"/>
    <w:rsid w:val="00D539C9"/>
    <w:rsid w:val="00D624AC"/>
    <w:rsid w:val="00D62794"/>
    <w:rsid w:val="00D806AA"/>
    <w:rsid w:val="00D855AB"/>
    <w:rsid w:val="00D869D1"/>
    <w:rsid w:val="00DA0453"/>
    <w:rsid w:val="00DA3FE6"/>
    <w:rsid w:val="00DB4864"/>
    <w:rsid w:val="00DB61A8"/>
    <w:rsid w:val="00DB6807"/>
    <w:rsid w:val="00DC1158"/>
    <w:rsid w:val="00DC5F87"/>
    <w:rsid w:val="00DC6409"/>
    <w:rsid w:val="00DD3D3D"/>
    <w:rsid w:val="00DD4CDF"/>
    <w:rsid w:val="00DE07C0"/>
    <w:rsid w:val="00DE500D"/>
    <w:rsid w:val="00DF47EF"/>
    <w:rsid w:val="00DF60B2"/>
    <w:rsid w:val="00E0254C"/>
    <w:rsid w:val="00E10C1A"/>
    <w:rsid w:val="00E176C0"/>
    <w:rsid w:val="00E20FB9"/>
    <w:rsid w:val="00E306DB"/>
    <w:rsid w:val="00E3436D"/>
    <w:rsid w:val="00E45439"/>
    <w:rsid w:val="00E47126"/>
    <w:rsid w:val="00E554A6"/>
    <w:rsid w:val="00E60E24"/>
    <w:rsid w:val="00E62B81"/>
    <w:rsid w:val="00E65E14"/>
    <w:rsid w:val="00E676D4"/>
    <w:rsid w:val="00E721DA"/>
    <w:rsid w:val="00EA12A6"/>
    <w:rsid w:val="00EA180D"/>
    <w:rsid w:val="00EA33C0"/>
    <w:rsid w:val="00EA71F4"/>
    <w:rsid w:val="00EB129F"/>
    <w:rsid w:val="00EC10A1"/>
    <w:rsid w:val="00ED14A9"/>
    <w:rsid w:val="00ED5143"/>
    <w:rsid w:val="00ED709E"/>
    <w:rsid w:val="00ED7C56"/>
    <w:rsid w:val="00ED7F82"/>
    <w:rsid w:val="00EF1396"/>
    <w:rsid w:val="00EF4E46"/>
    <w:rsid w:val="00EF65F4"/>
    <w:rsid w:val="00F0210C"/>
    <w:rsid w:val="00F04753"/>
    <w:rsid w:val="00F147D7"/>
    <w:rsid w:val="00F164A9"/>
    <w:rsid w:val="00F22279"/>
    <w:rsid w:val="00F34F04"/>
    <w:rsid w:val="00F427E9"/>
    <w:rsid w:val="00F45762"/>
    <w:rsid w:val="00F47FE0"/>
    <w:rsid w:val="00F514D8"/>
    <w:rsid w:val="00F61520"/>
    <w:rsid w:val="00F6166F"/>
    <w:rsid w:val="00F70EDD"/>
    <w:rsid w:val="00F90B8E"/>
    <w:rsid w:val="00FA19CB"/>
    <w:rsid w:val="00FC3603"/>
    <w:rsid w:val="00FD23EB"/>
    <w:rsid w:val="00FD2D10"/>
    <w:rsid w:val="00FD36AF"/>
    <w:rsid w:val="00FE3D06"/>
    <w:rsid w:val="00FF5A38"/>
    <w:rsid w:val="022B2581"/>
    <w:rsid w:val="030F051F"/>
    <w:rsid w:val="031850CF"/>
    <w:rsid w:val="0328693B"/>
    <w:rsid w:val="03860448"/>
    <w:rsid w:val="03A32AC2"/>
    <w:rsid w:val="03D5152E"/>
    <w:rsid w:val="04154F10"/>
    <w:rsid w:val="047F32B1"/>
    <w:rsid w:val="048B3E34"/>
    <w:rsid w:val="04E413C2"/>
    <w:rsid w:val="056D7EF3"/>
    <w:rsid w:val="05C07B0D"/>
    <w:rsid w:val="05C70E9C"/>
    <w:rsid w:val="05DE1D42"/>
    <w:rsid w:val="06392E0D"/>
    <w:rsid w:val="067E0C42"/>
    <w:rsid w:val="06E8030D"/>
    <w:rsid w:val="06F7349E"/>
    <w:rsid w:val="070D0B30"/>
    <w:rsid w:val="07137CEF"/>
    <w:rsid w:val="07BC2556"/>
    <w:rsid w:val="07DB29DD"/>
    <w:rsid w:val="07F10452"/>
    <w:rsid w:val="081E2DDB"/>
    <w:rsid w:val="08730E67"/>
    <w:rsid w:val="088C017B"/>
    <w:rsid w:val="08CD1C68"/>
    <w:rsid w:val="08DD191C"/>
    <w:rsid w:val="091C32AD"/>
    <w:rsid w:val="099E3CC2"/>
    <w:rsid w:val="0A4C1970"/>
    <w:rsid w:val="0A5C568E"/>
    <w:rsid w:val="0B100F5C"/>
    <w:rsid w:val="0B45629C"/>
    <w:rsid w:val="0B916397"/>
    <w:rsid w:val="0BA5491F"/>
    <w:rsid w:val="0BC5431F"/>
    <w:rsid w:val="0BE06FBC"/>
    <w:rsid w:val="0C2C3A67"/>
    <w:rsid w:val="0C2D2ED1"/>
    <w:rsid w:val="0C3D3456"/>
    <w:rsid w:val="0C4E23EE"/>
    <w:rsid w:val="0C753800"/>
    <w:rsid w:val="0D1424ED"/>
    <w:rsid w:val="0E72571D"/>
    <w:rsid w:val="0E987C5F"/>
    <w:rsid w:val="0ED92B60"/>
    <w:rsid w:val="0EE24861"/>
    <w:rsid w:val="0F2D4B76"/>
    <w:rsid w:val="0F8B6A88"/>
    <w:rsid w:val="10543154"/>
    <w:rsid w:val="11205904"/>
    <w:rsid w:val="113B7106"/>
    <w:rsid w:val="11FD5C45"/>
    <w:rsid w:val="120F5C1A"/>
    <w:rsid w:val="12881EC3"/>
    <w:rsid w:val="12905179"/>
    <w:rsid w:val="13322E69"/>
    <w:rsid w:val="135975E0"/>
    <w:rsid w:val="13F2409C"/>
    <w:rsid w:val="143C0CA7"/>
    <w:rsid w:val="147D72A7"/>
    <w:rsid w:val="14BE346A"/>
    <w:rsid w:val="14D76538"/>
    <w:rsid w:val="151F769C"/>
    <w:rsid w:val="15521C74"/>
    <w:rsid w:val="155D7438"/>
    <w:rsid w:val="15A37504"/>
    <w:rsid w:val="15F855BA"/>
    <w:rsid w:val="16C70A74"/>
    <w:rsid w:val="170B7C21"/>
    <w:rsid w:val="17126860"/>
    <w:rsid w:val="17550368"/>
    <w:rsid w:val="17884ACD"/>
    <w:rsid w:val="17966920"/>
    <w:rsid w:val="18027746"/>
    <w:rsid w:val="181175AE"/>
    <w:rsid w:val="18CB39A2"/>
    <w:rsid w:val="19157D18"/>
    <w:rsid w:val="1944099A"/>
    <w:rsid w:val="19697608"/>
    <w:rsid w:val="19A86DB6"/>
    <w:rsid w:val="1AA475A6"/>
    <w:rsid w:val="1B7D707F"/>
    <w:rsid w:val="1BD712B5"/>
    <w:rsid w:val="1BEE7CE2"/>
    <w:rsid w:val="1C57105B"/>
    <w:rsid w:val="1CF86E40"/>
    <w:rsid w:val="1D8658DB"/>
    <w:rsid w:val="1DC13E14"/>
    <w:rsid w:val="1E3710E5"/>
    <w:rsid w:val="1E4412E6"/>
    <w:rsid w:val="1EC43D73"/>
    <w:rsid w:val="1ECC2C27"/>
    <w:rsid w:val="1F6317DE"/>
    <w:rsid w:val="1F824A45"/>
    <w:rsid w:val="1FC7583F"/>
    <w:rsid w:val="20156C40"/>
    <w:rsid w:val="20246152"/>
    <w:rsid w:val="204131A1"/>
    <w:rsid w:val="20426918"/>
    <w:rsid w:val="20AE63C7"/>
    <w:rsid w:val="20F85F56"/>
    <w:rsid w:val="215F4122"/>
    <w:rsid w:val="21BF5D8E"/>
    <w:rsid w:val="22BB769F"/>
    <w:rsid w:val="233C7974"/>
    <w:rsid w:val="242850BD"/>
    <w:rsid w:val="244A4D1A"/>
    <w:rsid w:val="24A6722F"/>
    <w:rsid w:val="25390CDA"/>
    <w:rsid w:val="256A1CAE"/>
    <w:rsid w:val="26AF633B"/>
    <w:rsid w:val="271F5853"/>
    <w:rsid w:val="279E6676"/>
    <w:rsid w:val="27ED2A03"/>
    <w:rsid w:val="28C01A4F"/>
    <w:rsid w:val="296D7F1B"/>
    <w:rsid w:val="298239C0"/>
    <w:rsid w:val="29C0453B"/>
    <w:rsid w:val="29D86924"/>
    <w:rsid w:val="2A087705"/>
    <w:rsid w:val="2A3F1785"/>
    <w:rsid w:val="2AAB7FEC"/>
    <w:rsid w:val="2B0D30CC"/>
    <w:rsid w:val="2B5A0FBB"/>
    <w:rsid w:val="2BF33EE9"/>
    <w:rsid w:val="2C0B4C84"/>
    <w:rsid w:val="2C4E7372"/>
    <w:rsid w:val="2D6C5D01"/>
    <w:rsid w:val="2DF024FE"/>
    <w:rsid w:val="2E0F7708"/>
    <w:rsid w:val="2E1822CC"/>
    <w:rsid w:val="2E8F1F2A"/>
    <w:rsid w:val="2EF50CDA"/>
    <w:rsid w:val="2F240B49"/>
    <w:rsid w:val="2F462582"/>
    <w:rsid w:val="2F846FA5"/>
    <w:rsid w:val="30117AB2"/>
    <w:rsid w:val="3022494A"/>
    <w:rsid w:val="30393E95"/>
    <w:rsid w:val="305C2DCA"/>
    <w:rsid w:val="30746DBC"/>
    <w:rsid w:val="31020455"/>
    <w:rsid w:val="31120AB3"/>
    <w:rsid w:val="31271F3F"/>
    <w:rsid w:val="3169093D"/>
    <w:rsid w:val="31C47AEA"/>
    <w:rsid w:val="321C75CA"/>
    <w:rsid w:val="3227669B"/>
    <w:rsid w:val="322B36BB"/>
    <w:rsid w:val="32566F80"/>
    <w:rsid w:val="325806BF"/>
    <w:rsid w:val="32AA39A3"/>
    <w:rsid w:val="32AA5756"/>
    <w:rsid w:val="32E20814"/>
    <w:rsid w:val="32E427DE"/>
    <w:rsid w:val="3337342F"/>
    <w:rsid w:val="33535743"/>
    <w:rsid w:val="33806DB1"/>
    <w:rsid w:val="33893723"/>
    <w:rsid w:val="33BA6A40"/>
    <w:rsid w:val="33D64EC4"/>
    <w:rsid w:val="33F50A6A"/>
    <w:rsid w:val="34162D0C"/>
    <w:rsid w:val="341C486A"/>
    <w:rsid w:val="34E14BC8"/>
    <w:rsid w:val="34FB227B"/>
    <w:rsid w:val="359866C1"/>
    <w:rsid w:val="35BF77E9"/>
    <w:rsid w:val="35EF256E"/>
    <w:rsid w:val="360853F3"/>
    <w:rsid w:val="361B02C4"/>
    <w:rsid w:val="36521772"/>
    <w:rsid w:val="36523247"/>
    <w:rsid w:val="372412FD"/>
    <w:rsid w:val="37426C26"/>
    <w:rsid w:val="376C28F6"/>
    <w:rsid w:val="37FA3C29"/>
    <w:rsid w:val="380475E4"/>
    <w:rsid w:val="38075479"/>
    <w:rsid w:val="38E47094"/>
    <w:rsid w:val="39064A1B"/>
    <w:rsid w:val="393641F3"/>
    <w:rsid w:val="39A10D6D"/>
    <w:rsid w:val="3A191CCE"/>
    <w:rsid w:val="3A2B2111"/>
    <w:rsid w:val="3A612536"/>
    <w:rsid w:val="3A897FB6"/>
    <w:rsid w:val="3BD4429C"/>
    <w:rsid w:val="3BDD199D"/>
    <w:rsid w:val="3BF75330"/>
    <w:rsid w:val="3C2E0626"/>
    <w:rsid w:val="3C4669C3"/>
    <w:rsid w:val="3C8D359E"/>
    <w:rsid w:val="3CA8760A"/>
    <w:rsid w:val="3CC82828"/>
    <w:rsid w:val="3CDD2778"/>
    <w:rsid w:val="3D1959A5"/>
    <w:rsid w:val="3D430101"/>
    <w:rsid w:val="3D4A74ED"/>
    <w:rsid w:val="3DFF77BF"/>
    <w:rsid w:val="3E330BFB"/>
    <w:rsid w:val="3E986BE9"/>
    <w:rsid w:val="3F421D6F"/>
    <w:rsid w:val="3F6E06CE"/>
    <w:rsid w:val="3FB377AD"/>
    <w:rsid w:val="40740164"/>
    <w:rsid w:val="417754B2"/>
    <w:rsid w:val="41D43A1D"/>
    <w:rsid w:val="42732C87"/>
    <w:rsid w:val="428139C3"/>
    <w:rsid w:val="42965F22"/>
    <w:rsid w:val="42C63829"/>
    <w:rsid w:val="42FA336E"/>
    <w:rsid w:val="434D3A87"/>
    <w:rsid w:val="4351737E"/>
    <w:rsid w:val="43C514CD"/>
    <w:rsid w:val="443F7874"/>
    <w:rsid w:val="44C33316"/>
    <w:rsid w:val="454F172C"/>
    <w:rsid w:val="4592539E"/>
    <w:rsid w:val="465B09FE"/>
    <w:rsid w:val="469320F9"/>
    <w:rsid w:val="469C6470"/>
    <w:rsid w:val="46BA1434"/>
    <w:rsid w:val="46EC35B7"/>
    <w:rsid w:val="46F10071"/>
    <w:rsid w:val="47516749"/>
    <w:rsid w:val="48900F18"/>
    <w:rsid w:val="48C00CF8"/>
    <w:rsid w:val="48F77BA7"/>
    <w:rsid w:val="498F2137"/>
    <w:rsid w:val="49EA528B"/>
    <w:rsid w:val="49F66C27"/>
    <w:rsid w:val="4A1239C0"/>
    <w:rsid w:val="4A3F43BA"/>
    <w:rsid w:val="4A504E51"/>
    <w:rsid w:val="4AE96C0D"/>
    <w:rsid w:val="4AF25931"/>
    <w:rsid w:val="4AF375ED"/>
    <w:rsid w:val="4B1F2685"/>
    <w:rsid w:val="4BB56F4D"/>
    <w:rsid w:val="4BBA42AA"/>
    <w:rsid w:val="4C2974CD"/>
    <w:rsid w:val="4C585E81"/>
    <w:rsid w:val="4C987DF0"/>
    <w:rsid w:val="4CC50B32"/>
    <w:rsid w:val="4CD47543"/>
    <w:rsid w:val="4CDA0A9C"/>
    <w:rsid w:val="4CEB0525"/>
    <w:rsid w:val="4D1A6008"/>
    <w:rsid w:val="4D4721FD"/>
    <w:rsid w:val="4D5732C4"/>
    <w:rsid w:val="4E0E623F"/>
    <w:rsid w:val="4E2875CB"/>
    <w:rsid w:val="4E6C01C9"/>
    <w:rsid w:val="4F18319B"/>
    <w:rsid w:val="4F3705D5"/>
    <w:rsid w:val="4F8000E7"/>
    <w:rsid w:val="509B22D6"/>
    <w:rsid w:val="509D5699"/>
    <w:rsid w:val="50C87C29"/>
    <w:rsid w:val="50E023DF"/>
    <w:rsid w:val="512A5408"/>
    <w:rsid w:val="51422839"/>
    <w:rsid w:val="517F7502"/>
    <w:rsid w:val="521D1531"/>
    <w:rsid w:val="5223404D"/>
    <w:rsid w:val="52990A97"/>
    <w:rsid w:val="530C3017"/>
    <w:rsid w:val="530E5D14"/>
    <w:rsid w:val="532314F1"/>
    <w:rsid w:val="5325057D"/>
    <w:rsid w:val="534558E3"/>
    <w:rsid w:val="538E01B8"/>
    <w:rsid w:val="53BB3EEB"/>
    <w:rsid w:val="53CB551C"/>
    <w:rsid w:val="53CD4E3C"/>
    <w:rsid w:val="53E775E0"/>
    <w:rsid w:val="542D21E1"/>
    <w:rsid w:val="54D9517B"/>
    <w:rsid w:val="55322ADD"/>
    <w:rsid w:val="556F5290"/>
    <w:rsid w:val="559770F1"/>
    <w:rsid w:val="563B75B4"/>
    <w:rsid w:val="563E18CF"/>
    <w:rsid w:val="56D402F0"/>
    <w:rsid w:val="56FC7846"/>
    <w:rsid w:val="573236D1"/>
    <w:rsid w:val="57646BCC"/>
    <w:rsid w:val="57EB3D31"/>
    <w:rsid w:val="58CB127E"/>
    <w:rsid w:val="59044790"/>
    <w:rsid w:val="596768DE"/>
    <w:rsid w:val="597D0D8E"/>
    <w:rsid w:val="59934492"/>
    <w:rsid w:val="59B76A85"/>
    <w:rsid w:val="59C0195A"/>
    <w:rsid w:val="59D2646B"/>
    <w:rsid w:val="59F75FE7"/>
    <w:rsid w:val="5A157F41"/>
    <w:rsid w:val="5A7220AC"/>
    <w:rsid w:val="5A754C23"/>
    <w:rsid w:val="5AAD1584"/>
    <w:rsid w:val="5ADA5A58"/>
    <w:rsid w:val="5B15237A"/>
    <w:rsid w:val="5B561B5C"/>
    <w:rsid w:val="5B743B71"/>
    <w:rsid w:val="5B7F3AB2"/>
    <w:rsid w:val="5B9312A6"/>
    <w:rsid w:val="5BB26726"/>
    <w:rsid w:val="5C6C2929"/>
    <w:rsid w:val="5C9710BF"/>
    <w:rsid w:val="5CC46661"/>
    <w:rsid w:val="5D2766DC"/>
    <w:rsid w:val="5D5A0E23"/>
    <w:rsid w:val="5D5C103F"/>
    <w:rsid w:val="5D6972B8"/>
    <w:rsid w:val="5D8E6F59"/>
    <w:rsid w:val="5DB839C8"/>
    <w:rsid w:val="5E0D3CCF"/>
    <w:rsid w:val="5E2F405E"/>
    <w:rsid w:val="5E8D3853"/>
    <w:rsid w:val="5E9E119C"/>
    <w:rsid w:val="5EEC01A1"/>
    <w:rsid w:val="5F143808"/>
    <w:rsid w:val="5F36141C"/>
    <w:rsid w:val="5F3961B5"/>
    <w:rsid w:val="5F3C2875"/>
    <w:rsid w:val="5F427735"/>
    <w:rsid w:val="5F7A39FE"/>
    <w:rsid w:val="61473A4B"/>
    <w:rsid w:val="61AA4D69"/>
    <w:rsid w:val="61EE5FDE"/>
    <w:rsid w:val="629044FC"/>
    <w:rsid w:val="62F85366"/>
    <w:rsid w:val="630B7865"/>
    <w:rsid w:val="6372336A"/>
    <w:rsid w:val="63887FFE"/>
    <w:rsid w:val="63C11229"/>
    <w:rsid w:val="63FA6D64"/>
    <w:rsid w:val="63FC0E86"/>
    <w:rsid w:val="64571318"/>
    <w:rsid w:val="64A75FFC"/>
    <w:rsid w:val="652750C5"/>
    <w:rsid w:val="65DC0CD8"/>
    <w:rsid w:val="65EE4C6A"/>
    <w:rsid w:val="664F3FB5"/>
    <w:rsid w:val="668B64F1"/>
    <w:rsid w:val="66F70FBB"/>
    <w:rsid w:val="67552457"/>
    <w:rsid w:val="67713953"/>
    <w:rsid w:val="678A3D88"/>
    <w:rsid w:val="67B24B7B"/>
    <w:rsid w:val="67BE08FF"/>
    <w:rsid w:val="67DF2130"/>
    <w:rsid w:val="68951ECE"/>
    <w:rsid w:val="68981F8F"/>
    <w:rsid w:val="68AD33CF"/>
    <w:rsid w:val="68B25FB7"/>
    <w:rsid w:val="68B6666D"/>
    <w:rsid w:val="68F21A6E"/>
    <w:rsid w:val="692C1C13"/>
    <w:rsid w:val="69401815"/>
    <w:rsid w:val="696D1EDE"/>
    <w:rsid w:val="6A15121B"/>
    <w:rsid w:val="6A3144DB"/>
    <w:rsid w:val="6A613E90"/>
    <w:rsid w:val="6AB238B8"/>
    <w:rsid w:val="6B8E4AB9"/>
    <w:rsid w:val="6BF23510"/>
    <w:rsid w:val="6C35044C"/>
    <w:rsid w:val="6C806C83"/>
    <w:rsid w:val="6C8E6719"/>
    <w:rsid w:val="6C9F6038"/>
    <w:rsid w:val="6CAB267F"/>
    <w:rsid w:val="6CAE0B0B"/>
    <w:rsid w:val="6CBD2E09"/>
    <w:rsid w:val="6CC34021"/>
    <w:rsid w:val="6CE20DDF"/>
    <w:rsid w:val="6D2B458A"/>
    <w:rsid w:val="6D817B44"/>
    <w:rsid w:val="6D82064E"/>
    <w:rsid w:val="6DAE1443"/>
    <w:rsid w:val="6DC611D5"/>
    <w:rsid w:val="6DDB1B0C"/>
    <w:rsid w:val="6DEB2DB0"/>
    <w:rsid w:val="6E072901"/>
    <w:rsid w:val="6E2037F9"/>
    <w:rsid w:val="6E810905"/>
    <w:rsid w:val="6EDD2B03"/>
    <w:rsid w:val="6FB04FED"/>
    <w:rsid w:val="6FCA62DC"/>
    <w:rsid w:val="6FE6024B"/>
    <w:rsid w:val="70495BF2"/>
    <w:rsid w:val="706B6034"/>
    <w:rsid w:val="707A385E"/>
    <w:rsid w:val="70B57FF2"/>
    <w:rsid w:val="70DA254F"/>
    <w:rsid w:val="71C54FAD"/>
    <w:rsid w:val="71D06278"/>
    <w:rsid w:val="722D7208"/>
    <w:rsid w:val="72894F8A"/>
    <w:rsid w:val="72AC0555"/>
    <w:rsid w:val="72E27499"/>
    <w:rsid w:val="730B5291"/>
    <w:rsid w:val="732E24F2"/>
    <w:rsid w:val="734737A0"/>
    <w:rsid w:val="73644352"/>
    <w:rsid w:val="737C78ED"/>
    <w:rsid w:val="73B72ED2"/>
    <w:rsid w:val="73D634A1"/>
    <w:rsid w:val="74666159"/>
    <w:rsid w:val="74830261"/>
    <w:rsid w:val="74842EFD"/>
    <w:rsid w:val="74D8276D"/>
    <w:rsid w:val="74E84D40"/>
    <w:rsid w:val="750F33D1"/>
    <w:rsid w:val="75596138"/>
    <w:rsid w:val="75F05CC0"/>
    <w:rsid w:val="76146A4C"/>
    <w:rsid w:val="76B63116"/>
    <w:rsid w:val="76FC446A"/>
    <w:rsid w:val="77737259"/>
    <w:rsid w:val="777B04D5"/>
    <w:rsid w:val="77C03C57"/>
    <w:rsid w:val="782234E4"/>
    <w:rsid w:val="78667C14"/>
    <w:rsid w:val="78EE1EDB"/>
    <w:rsid w:val="793D18CD"/>
    <w:rsid w:val="79422287"/>
    <w:rsid w:val="79A951B4"/>
    <w:rsid w:val="79ED32F3"/>
    <w:rsid w:val="7A5C3FD5"/>
    <w:rsid w:val="7B6770D5"/>
    <w:rsid w:val="7B6E5D6D"/>
    <w:rsid w:val="7B9B5E46"/>
    <w:rsid w:val="7C361415"/>
    <w:rsid w:val="7C6E1CE3"/>
    <w:rsid w:val="7CB4634A"/>
    <w:rsid w:val="7CB9570E"/>
    <w:rsid w:val="7CD76264"/>
    <w:rsid w:val="7D44147C"/>
    <w:rsid w:val="7D802ADF"/>
    <w:rsid w:val="7DA0067C"/>
    <w:rsid w:val="7DA70FC8"/>
    <w:rsid w:val="7DAE4F07"/>
    <w:rsid w:val="7DDB3462"/>
    <w:rsid w:val="7E1B4BFF"/>
    <w:rsid w:val="7E553215"/>
    <w:rsid w:val="7EFB0260"/>
    <w:rsid w:val="7F4E7697"/>
    <w:rsid w:val="7F8C0EB8"/>
    <w:rsid w:val="7FDB1329"/>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1" w:semiHidden="0" w:name="heading 2"/>
    <w:lsdException w:qFormat="1" w:unhideWhenUsed="0" w:uiPriority="9" w:semiHidden="0" w:name="heading 3"/>
    <w:lsdException w:qFormat="1" w:unhideWhenUsed="0" w:uiPriority="9" w:semiHidden="0" w:name="heading 4"/>
    <w:lsdException w:qFormat="1" w:unhideWhenUsed="0" w:uiPriority="9" w:semiHidden="0" w:name="heading 5"/>
    <w:lsdException w:qFormat="1" w:unhideWhenUsed="0" w:uiPriority="9" w:semiHidden="0" w:name="heading 6"/>
    <w:lsdException w:qFormat="1" w:unhideWhenUsed="0" w:uiPriority="9" w:semiHidden="0" w:name="heading 7"/>
    <w:lsdException w:qFormat="1" w:unhideWhenUsed="0" w:uiPriority="9" w:semiHidden="0" w:name="heading 8"/>
    <w:lsdException w:qFormat="1" w:unhideWhenUsed="0" w:uiPriority="9" w:semiHidden="0"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qFormat="1" w:uiPriority="39" w:semiHidden="0" w:name="toc 4"/>
    <w:lsdException w:qFormat="1" w:uiPriority="39" w:semiHidden="0" w:name="toc 5"/>
    <w:lsdException w:qFormat="1" w:uiPriority="39" w:semiHidden="0" w:name="toc 6"/>
    <w:lsdException w:qFormat="1" w:uiPriority="39" w:semiHidden="0" w:name="toc 7"/>
    <w:lsdException w:qFormat="1" w:uiPriority="39" w:semiHidden="0" w:name="toc 8"/>
    <w:lsdException w:qFormat="1" w:uiPriority="39" w:semiHidden="0" w:name="toc 9"/>
    <w:lsdException w:qFormat="1" w:unhideWhenUsed="0" w:uiPriority="0" w:semiHidden="0" w:name="Normal Indent"/>
    <w:lsdException w:uiPriority="99" w:name="footnote text"/>
    <w:lsdException w:qFormat="1" w:unhideWhenUsed="0" w:uiPriority="99" w:semiHidden="0" w:name="annotation text"/>
    <w:lsdException w:qFormat="1" w:uiPriority="0" w:semiHidden="0" w:name="header"/>
    <w:lsdException w:qFormat="1"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uiPriority="99" w:name="Body Text First Indent"/>
    <w:lsdException w:qFormat="1" w:unhideWhenUsed="0" w:uiPriority="0" w:semiHidden="0" w:name="Body Text First Indent 2"/>
    <w:lsdException w:uiPriority="99" w:name="Note Heading"/>
    <w:lsdException w:uiPriority="99" w:name="Body Text 2"/>
    <w:lsdException w:uiPriority="99" w:name="Body Text 3"/>
    <w:lsdException w:uiPriority="99" w:name="Body Text Indent 2"/>
    <w:lsdException w:qFormat="1" w:uiPriority="99" w:semiHidden="0"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qFormat="1" w:uiPriority="99" w:semiHidden="0" w:name="Document Map"/>
    <w:lsdException w:qFormat="1" w:unhideWhenUsed="0" w:uiPriority="0" w:semiHidden="0"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link w:val="38"/>
    <w:autoRedefine/>
    <w:qFormat/>
    <w:uiPriority w:val="9"/>
    <w:pPr>
      <w:keepNext/>
      <w:keepLines/>
      <w:numPr>
        <w:ilvl w:val="0"/>
        <w:numId w:val="1"/>
      </w:numPr>
      <w:spacing w:before="340" w:after="330"/>
      <w:jc w:val="center"/>
      <w:outlineLvl w:val="0"/>
    </w:pPr>
    <w:rPr>
      <w:rFonts w:ascii="Calibri" w:hAnsi="Calibri" w:eastAsia="黑体"/>
      <w:b/>
      <w:bCs/>
      <w:kern w:val="44"/>
      <w:sz w:val="32"/>
      <w:szCs w:val="44"/>
    </w:rPr>
  </w:style>
  <w:style w:type="paragraph" w:styleId="4">
    <w:name w:val="heading 2"/>
    <w:basedOn w:val="1"/>
    <w:next w:val="1"/>
    <w:link w:val="39"/>
    <w:autoRedefine/>
    <w:qFormat/>
    <w:uiPriority w:val="1"/>
    <w:pPr>
      <w:keepNext/>
      <w:keepLines/>
      <w:numPr>
        <w:ilvl w:val="1"/>
        <w:numId w:val="1"/>
      </w:numPr>
      <w:spacing w:before="260" w:after="260" w:line="416" w:lineRule="auto"/>
      <w:outlineLvl w:val="1"/>
    </w:pPr>
    <w:rPr>
      <w:rFonts w:ascii="Arial" w:hAnsi="Arial"/>
      <w:b/>
      <w:bCs/>
      <w:kern w:val="0"/>
      <w:sz w:val="28"/>
      <w:szCs w:val="32"/>
    </w:rPr>
  </w:style>
  <w:style w:type="paragraph" w:styleId="5">
    <w:name w:val="heading 3"/>
    <w:basedOn w:val="1"/>
    <w:next w:val="1"/>
    <w:link w:val="40"/>
    <w:autoRedefine/>
    <w:qFormat/>
    <w:uiPriority w:val="9"/>
    <w:pPr>
      <w:keepNext/>
      <w:keepLines/>
      <w:numPr>
        <w:ilvl w:val="2"/>
        <w:numId w:val="1"/>
      </w:numPr>
      <w:spacing w:before="260" w:after="260" w:line="416" w:lineRule="auto"/>
      <w:outlineLvl w:val="2"/>
    </w:pPr>
    <w:rPr>
      <w:rFonts w:ascii="Calibri" w:hAnsi="Calibri"/>
      <w:bCs/>
      <w:sz w:val="28"/>
      <w:szCs w:val="32"/>
    </w:rPr>
  </w:style>
  <w:style w:type="paragraph" w:styleId="6">
    <w:name w:val="heading 4"/>
    <w:basedOn w:val="1"/>
    <w:next w:val="1"/>
    <w:link w:val="41"/>
    <w:autoRedefine/>
    <w:qFormat/>
    <w:uiPriority w:val="9"/>
    <w:pPr>
      <w:numPr>
        <w:ilvl w:val="3"/>
        <w:numId w:val="1"/>
      </w:numPr>
      <w:spacing w:before="100" w:beforeAutospacing="1" w:after="100" w:line="360" w:lineRule="auto"/>
      <w:outlineLvl w:val="3"/>
    </w:pPr>
    <w:rPr>
      <w:rFonts w:ascii="Cambria" w:hAnsi="Cambria"/>
      <w:bCs/>
      <w:sz w:val="24"/>
      <w:szCs w:val="28"/>
    </w:rPr>
  </w:style>
  <w:style w:type="paragraph" w:styleId="7">
    <w:name w:val="heading 5"/>
    <w:basedOn w:val="1"/>
    <w:next w:val="1"/>
    <w:link w:val="42"/>
    <w:autoRedefine/>
    <w:qFormat/>
    <w:uiPriority w:val="9"/>
    <w:pPr>
      <w:numPr>
        <w:ilvl w:val="4"/>
        <w:numId w:val="1"/>
      </w:numPr>
      <w:spacing w:line="360" w:lineRule="auto"/>
      <w:outlineLvl w:val="4"/>
    </w:pPr>
    <w:rPr>
      <w:rFonts w:ascii="Calibri" w:hAnsi="Calibri"/>
      <w:bCs/>
      <w:sz w:val="24"/>
      <w:szCs w:val="28"/>
    </w:rPr>
  </w:style>
  <w:style w:type="paragraph" w:styleId="8">
    <w:name w:val="heading 6"/>
    <w:basedOn w:val="1"/>
    <w:next w:val="1"/>
    <w:link w:val="43"/>
    <w:autoRedefine/>
    <w:qFormat/>
    <w:uiPriority w:val="9"/>
    <w:pPr>
      <w:keepNext/>
      <w:keepLines/>
      <w:spacing w:before="240" w:after="64" w:line="320" w:lineRule="auto"/>
      <w:ind w:left="1152" w:hanging="432"/>
      <w:outlineLvl w:val="5"/>
    </w:pPr>
    <w:rPr>
      <w:rFonts w:ascii="Cambria" w:hAnsi="Cambria"/>
      <w:b/>
      <w:bCs/>
      <w:sz w:val="24"/>
    </w:rPr>
  </w:style>
  <w:style w:type="paragraph" w:styleId="9">
    <w:name w:val="heading 7"/>
    <w:basedOn w:val="1"/>
    <w:next w:val="1"/>
    <w:link w:val="44"/>
    <w:autoRedefine/>
    <w:qFormat/>
    <w:uiPriority w:val="9"/>
    <w:pPr>
      <w:keepNext/>
      <w:keepLines/>
      <w:spacing w:before="240" w:after="64" w:line="320" w:lineRule="auto"/>
      <w:ind w:left="1296" w:hanging="288"/>
      <w:outlineLvl w:val="6"/>
    </w:pPr>
    <w:rPr>
      <w:rFonts w:ascii="Calibri" w:hAnsi="Calibri"/>
      <w:b/>
      <w:bCs/>
      <w:sz w:val="24"/>
    </w:rPr>
  </w:style>
  <w:style w:type="paragraph" w:styleId="10">
    <w:name w:val="heading 8"/>
    <w:basedOn w:val="1"/>
    <w:next w:val="1"/>
    <w:link w:val="45"/>
    <w:autoRedefine/>
    <w:qFormat/>
    <w:uiPriority w:val="9"/>
    <w:pPr>
      <w:keepNext/>
      <w:keepLines/>
      <w:spacing w:before="240" w:after="64" w:line="320" w:lineRule="auto"/>
      <w:ind w:left="1440" w:hanging="432"/>
      <w:outlineLvl w:val="7"/>
    </w:pPr>
    <w:rPr>
      <w:rFonts w:ascii="Cambria" w:hAnsi="Cambria"/>
      <w:sz w:val="24"/>
    </w:rPr>
  </w:style>
  <w:style w:type="paragraph" w:styleId="11">
    <w:name w:val="heading 9"/>
    <w:basedOn w:val="1"/>
    <w:next w:val="1"/>
    <w:link w:val="46"/>
    <w:autoRedefine/>
    <w:qFormat/>
    <w:uiPriority w:val="9"/>
    <w:pPr>
      <w:keepNext/>
      <w:keepLines/>
      <w:spacing w:before="240" w:after="64" w:line="320" w:lineRule="auto"/>
      <w:ind w:left="1584" w:hanging="144"/>
      <w:outlineLvl w:val="8"/>
    </w:pPr>
    <w:rPr>
      <w:rFonts w:ascii="Cambria" w:hAnsi="Cambria"/>
      <w:szCs w:val="21"/>
    </w:rPr>
  </w:style>
  <w:style w:type="character" w:default="1" w:styleId="34">
    <w:name w:val="Default Paragraph Font"/>
    <w:autoRedefine/>
    <w:semiHidden/>
    <w:unhideWhenUsed/>
    <w:qFormat/>
    <w:uiPriority w:val="1"/>
  </w:style>
  <w:style w:type="table" w:default="1" w:styleId="32">
    <w:name w:val="Normal Table"/>
    <w:autoRedefine/>
    <w:semiHidden/>
    <w:unhideWhenUsed/>
    <w:qFormat/>
    <w:uiPriority w:val="99"/>
    <w:tblPr>
      <w:tblCellMar>
        <w:top w:w="0" w:type="dxa"/>
        <w:left w:w="108" w:type="dxa"/>
        <w:bottom w:w="0" w:type="dxa"/>
        <w:right w:w="108" w:type="dxa"/>
      </w:tblCellMar>
    </w:tblPr>
  </w:style>
  <w:style w:type="paragraph" w:styleId="2">
    <w:name w:val="Body Text"/>
    <w:basedOn w:val="1"/>
    <w:next w:val="1"/>
    <w:autoRedefine/>
    <w:qFormat/>
    <w:uiPriority w:val="0"/>
    <w:rPr>
      <w:sz w:val="28"/>
    </w:rPr>
  </w:style>
  <w:style w:type="paragraph" w:styleId="12">
    <w:name w:val="toc 7"/>
    <w:basedOn w:val="1"/>
    <w:next w:val="1"/>
    <w:autoRedefine/>
    <w:unhideWhenUsed/>
    <w:qFormat/>
    <w:uiPriority w:val="39"/>
    <w:pPr>
      <w:ind w:left="2520" w:leftChars="1200"/>
    </w:pPr>
    <w:rPr>
      <w:rFonts w:ascii="Calibri" w:hAnsi="Calibri"/>
      <w:szCs w:val="22"/>
    </w:rPr>
  </w:style>
  <w:style w:type="paragraph" w:styleId="13">
    <w:name w:val="Normal Indent"/>
    <w:basedOn w:val="1"/>
    <w:autoRedefine/>
    <w:qFormat/>
    <w:uiPriority w:val="0"/>
    <w:pPr>
      <w:ind w:firstLine="420" w:firstLineChars="200"/>
    </w:pPr>
  </w:style>
  <w:style w:type="paragraph" w:styleId="14">
    <w:name w:val="Document Map"/>
    <w:basedOn w:val="1"/>
    <w:link w:val="47"/>
    <w:autoRedefine/>
    <w:unhideWhenUsed/>
    <w:qFormat/>
    <w:uiPriority w:val="99"/>
    <w:rPr>
      <w:rFonts w:ascii="宋体"/>
      <w:kern w:val="0"/>
      <w:sz w:val="18"/>
      <w:szCs w:val="18"/>
    </w:rPr>
  </w:style>
  <w:style w:type="paragraph" w:styleId="15">
    <w:name w:val="annotation text"/>
    <w:basedOn w:val="1"/>
    <w:autoRedefine/>
    <w:qFormat/>
    <w:uiPriority w:val="99"/>
    <w:pPr>
      <w:jc w:val="left"/>
    </w:pPr>
  </w:style>
  <w:style w:type="paragraph" w:styleId="16">
    <w:name w:val="Body Text Indent"/>
    <w:basedOn w:val="1"/>
    <w:link w:val="48"/>
    <w:autoRedefine/>
    <w:qFormat/>
    <w:uiPriority w:val="0"/>
    <w:pPr>
      <w:spacing w:before="80" w:after="80" w:line="240" w:lineRule="atLeast"/>
      <w:ind w:firstLine="454"/>
    </w:pPr>
    <w:rPr>
      <w:rFonts w:ascii="Arial" w:hAnsi="Arial"/>
      <w:kern w:val="0"/>
      <w:sz w:val="24"/>
      <w:szCs w:val="20"/>
    </w:rPr>
  </w:style>
  <w:style w:type="paragraph" w:styleId="17">
    <w:name w:val="toc 5"/>
    <w:basedOn w:val="1"/>
    <w:next w:val="1"/>
    <w:autoRedefine/>
    <w:unhideWhenUsed/>
    <w:qFormat/>
    <w:uiPriority w:val="39"/>
    <w:pPr>
      <w:ind w:left="1680" w:leftChars="800"/>
    </w:pPr>
    <w:rPr>
      <w:rFonts w:ascii="Calibri" w:hAnsi="Calibri"/>
      <w:szCs w:val="22"/>
    </w:rPr>
  </w:style>
  <w:style w:type="paragraph" w:styleId="18">
    <w:name w:val="toc 3"/>
    <w:basedOn w:val="1"/>
    <w:next w:val="1"/>
    <w:autoRedefine/>
    <w:unhideWhenUsed/>
    <w:qFormat/>
    <w:uiPriority w:val="39"/>
    <w:pPr>
      <w:ind w:left="840" w:leftChars="400"/>
    </w:pPr>
    <w:rPr>
      <w:rFonts w:ascii="Calibri" w:hAnsi="Calibri"/>
      <w:szCs w:val="22"/>
    </w:rPr>
  </w:style>
  <w:style w:type="paragraph" w:styleId="19">
    <w:name w:val="Plain Text"/>
    <w:basedOn w:val="1"/>
    <w:link w:val="49"/>
    <w:autoRedefine/>
    <w:qFormat/>
    <w:uiPriority w:val="0"/>
    <w:rPr>
      <w:rFonts w:ascii="宋体" w:hAnsi="Courier New"/>
      <w:kern w:val="0"/>
      <w:sz w:val="20"/>
      <w:szCs w:val="20"/>
    </w:rPr>
  </w:style>
  <w:style w:type="paragraph" w:styleId="20">
    <w:name w:val="toc 8"/>
    <w:basedOn w:val="1"/>
    <w:next w:val="1"/>
    <w:autoRedefine/>
    <w:unhideWhenUsed/>
    <w:qFormat/>
    <w:uiPriority w:val="39"/>
    <w:pPr>
      <w:ind w:left="2940" w:leftChars="1400"/>
    </w:pPr>
    <w:rPr>
      <w:rFonts w:ascii="Calibri" w:hAnsi="Calibri"/>
      <w:szCs w:val="22"/>
    </w:rPr>
  </w:style>
  <w:style w:type="paragraph" w:styleId="21">
    <w:name w:val="Date"/>
    <w:basedOn w:val="1"/>
    <w:next w:val="1"/>
    <w:link w:val="50"/>
    <w:autoRedefine/>
    <w:qFormat/>
    <w:uiPriority w:val="0"/>
    <w:pPr>
      <w:adjustRightInd w:val="0"/>
      <w:spacing w:line="312" w:lineRule="atLeast"/>
      <w:textAlignment w:val="baseline"/>
    </w:pPr>
    <w:rPr>
      <w:rFonts w:ascii="宋体"/>
      <w:kern w:val="0"/>
      <w:sz w:val="28"/>
      <w:szCs w:val="20"/>
    </w:rPr>
  </w:style>
  <w:style w:type="paragraph" w:styleId="22">
    <w:name w:val="Balloon Text"/>
    <w:basedOn w:val="1"/>
    <w:link w:val="51"/>
    <w:autoRedefine/>
    <w:unhideWhenUsed/>
    <w:qFormat/>
    <w:uiPriority w:val="99"/>
    <w:rPr>
      <w:kern w:val="0"/>
      <w:sz w:val="18"/>
      <w:szCs w:val="18"/>
    </w:rPr>
  </w:style>
  <w:style w:type="paragraph" w:styleId="23">
    <w:name w:val="footer"/>
    <w:basedOn w:val="1"/>
    <w:link w:val="52"/>
    <w:autoRedefine/>
    <w:unhideWhenUsed/>
    <w:qFormat/>
    <w:uiPriority w:val="0"/>
    <w:pPr>
      <w:tabs>
        <w:tab w:val="center" w:pos="4153"/>
        <w:tab w:val="right" w:pos="8306"/>
      </w:tabs>
      <w:snapToGrid w:val="0"/>
      <w:jc w:val="left"/>
    </w:pPr>
    <w:rPr>
      <w:kern w:val="0"/>
      <w:sz w:val="18"/>
      <w:szCs w:val="18"/>
    </w:rPr>
  </w:style>
  <w:style w:type="paragraph" w:styleId="24">
    <w:name w:val="header"/>
    <w:basedOn w:val="1"/>
    <w:link w:val="53"/>
    <w:autoRedefine/>
    <w:unhideWhenUsed/>
    <w:qFormat/>
    <w:uiPriority w:val="0"/>
    <w:pPr>
      <w:pBdr>
        <w:bottom w:val="single" w:color="auto" w:sz="6" w:space="1"/>
      </w:pBdr>
      <w:tabs>
        <w:tab w:val="center" w:pos="4153"/>
        <w:tab w:val="right" w:pos="8306"/>
      </w:tabs>
      <w:snapToGrid w:val="0"/>
      <w:jc w:val="center"/>
    </w:pPr>
    <w:rPr>
      <w:kern w:val="0"/>
      <w:sz w:val="18"/>
      <w:szCs w:val="18"/>
    </w:rPr>
  </w:style>
  <w:style w:type="paragraph" w:styleId="25">
    <w:name w:val="toc 1"/>
    <w:basedOn w:val="1"/>
    <w:next w:val="1"/>
    <w:autoRedefine/>
    <w:unhideWhenUsed/>
    <w:qFormat/>
    <w:uiPriority w:val="39"/>
  </w:style>
  <w:style w:type="paragraph" w:styleId="26">
    <w:name w:val="toc 4"/>
    <w:basedOn w:val="1"/>
    <w:next w:val="1"/>
    <w:autoRedefine/>
    <w:unhideWhenUsed/>
    <w:qFormat/>
    <w:uiPriority w:val="39"/>
    <w:pPr>
      <w:ind w:left="1260" w:leftChars="600"/>
    </w:pPr>
    <w:rPr>
      <w:rFonts w:ascii="Calibri" w:hAnsi="Calibri"/>
      <w:szCs w:val="22"/>
    </w:rPr>
  </w:style>
  <w:style w:type="paragraph" w:styleId="27">
    <w:name w:val="toc 6"/>
    <w:basedOn w:val="1"/>
    <w:next w:val="1"/>
    <w:autoRedefine/>
    <w:unhideWhenUsed/>
    <w:qFormat/>
    <w:uiPriority w:val="39"/>
    <w:pPr>
      <w:ind w:left="2100" w:leftChars="1000"/>
    </w:pPr>
    <w:rPr>
      <w:rFonts w:ascii="Calibri" w:hAnsi="Calibri"/>
      <w:szCs w:val="22"/>
    </w:rPr>
  </w:style>
  <w:style w:type="paragraph" w:styleId="28">
    <w:name w:val="Body Text Indent 3"/>
    <w:basedOn w:val="1"/>
    <w:link w:val="54"/>
    <w:autoRedefine/>
    <w:unhideWhenUsed/>
    <w:qFormat/>
    <w:uiPriority w:val="99"/>
    <w:pPr>
      <w:spacing w:after="120"/>
      <w:ind w:left="420" w:leftChars="200"/>
    </w:pPr>
    <w:rPr>
      <w:sz w:val="16"/>
      <w:szCs w:val="16"/>
    </w:rPr>
  </w:style>
  <w:style w:type="paragraph" w:styleId="29">
    <w:name w:val="toc 2"/>
    <w:basedOn w:val="1"/>
    <w:next w:val="1"/>
    <w:autoRedefine/>
    <w:unhideWhenUsed/>
    <w:qFormat/>
    <w:uiPriority w:val="39"/>
    <w:pPr>
      <w:ind w:left="420" w:leftChars="200"/>
    </w:pPr>
  </w:style>
  <w:style w:type="paragraph" w:styleId="30">
    <w:name w:val="toc 9"/>
    <w:basedOn w:val="1"/>
    <w:next w:val="1"/>
    <w:autoRedefine/>
    <w:unhideWhenUsed/>
    <w:qFormat/>
    <w:uiPriority w:val="39"/>
    <w:pPr>
      <w:ind w:left="3360" w:leftChars="1600"/>
    </w:pPr>
    <w:rPr>
      <w:rFonts w:ascii="Calibri" w:hAnsi="Calibri"/>
      <w:szCs w:val="22"/>
    </w:rPr>
  </w:style>
  <w:style w:type="paragraph" w:styleId="31">
    <w:name w:val="Body Text First Indent 2"/>
    <w:basedOn w:val="16"/>
    <w:next w:val="1"/>
    <w:autoRedefine/>
    <w:qFormat/>
    <w:uiPriority w:val="0"/>
    <w:pPr>
      <w:spacing w:before="120"/>
      <w:ind w:firstLine="210"/>
      <w:jc w:val="left"/>
    </w:pPr>
  </w:style>
  <w:style w:type="table" w:styleId="33">
    <w:name w:val="Table Grid"/>
    <w:basedOn w:val="32"/>
    <w:autoRedefine/>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35">
    <w:name w:val="page number"/>
    <w:basedOn w:val="34"/>
    <w:autoRedefine/>
    <w:qFormat/>
    <w:uiPriority w:val="0"/>
  </w:style>
  <w:style w:type="character" w:styleId="36">
    <w:name w:val="Hyperlink"/>
    <w:autoRedefine/>
    <w:unhideWhenUsed/>
    <w:qFormat/>
    <w:uiPriority w:val="99"/>
    <w:rPr>
      <w:color w:val="0000FF"/>
      <w:u w:val="single"/>
    </w:rPr>
  </w:style>
  <w:style w:type="character" w:styleId="37">
    <w:name w:val="annotation reference"/>
    <w:basedOn w:val="34"/>
    <w:autoRedefine/>
    <w:semiHidden/>
    <w:unhideWhenUsed/>
    <w:qFormat/>
    <w:uiPriority w:val="99"/>
    <w:rPr>
      <w:sz w:val="21"/>
      <w:szCs w:val="21"/>
    </w:rPr>
  </w:style>
  <w:style w:type="character" w:customStyle="1" w:styleId="38">
    <w:name w:val="标题 1 字符"/>
    <w:link w:val="3"/>
    <w:autoRedefine/>
    <w:qFormat/>
    <w:uiPriority w:val="9"/>
    <w:rPr>
      <w:rFonts w:eastAsia="黑体"/>
      <w:b/>
      <w:bCs/>
      <w:kern w:val="44"/>
      <w:sz w:val="32"/>
      <w:szCs w:val="44"/>
    </w:rPr>
  </w:style>
  <w:style w:type="character" w:customStyle="1" w:styleId="39">
    <w:name w:val="标题 2 字符"/>
    <w:link w:val="4"/>
    <w:autoRedefine/>
    <w:qFormat/>
    <w:uiPriority w:val="1"/>
    <w:rPr>
      <w:rFonts w:ascii="Arial" w:hAnsi="Arial"/>
      <w:b/>
      <w:bCs/>
      <w:sz w:val="28"/>
      <w:szCs w:val="32"/>
    </w:rPr>
  </w:style>
  <w:style w:type="character" w:customStyle="1" w:styleId="40">
    <w:name w:val="标题 3 字符"/>
    <w:link w:val="5"/>
    <w:autoRedefine/>
    <w:qFormat/>
    <w:uiPriority w:val="9"/>
    <w:rPr>
      <w:bCs/>
      <w:kern w:val="2"/>
      <w:sz w:val="28"/>
      <w:szCs w:val="32"/>
    </w:rPr>
  </w:style>
  <w:style w:type="character" w:customStyle="1" w:styleId="41">
    <w:name w:val="标题 4 字符"/>
    <w:link w:val="6"/>
    <w:autoRedefine/>
    <w:qFormat/>
    <w:uiPriority w:val="9"/>
    <w:rPr>
      <w:rFonts w:ascii="Cambria" w:hAnsi="Cambria"/>
      <w:bCs/>
      <w:kern w:val="2"/>
      <w:sz w:val="24"/>
      <w:szCs w:val="28"/>
    </w:rPr>
  </w:style>
  <w:style w:type="character" w:customStyle="1" w:styleId="42">
    <w:name w:val="标题 5 字符"/>
    <w:link w:val="7"/>
    <w:autoRedefine/>
    <w:qFormat/>
    <w:uiPriority w:val="9"/>
    <w:rPr>
      <w:bCs/>
      <w:kern w:val="2"/>
      <w:sz w:val="24"/>
      <w:szCs w:val="28"/>
    </w:rPr>
  </w:style>
  <w:style w:type="character" w:customStyle="1" w:styleId="43">
    <w:name w:val="标题 6 字符"/>
    <w:link w:val="8"/>
    <w:autoRedefine/>
    <w:qFormat/>
    <w:uiPriority w:val="9"/>
    <w:rPr>
      <w:rFonts w:ascii="Cambria" w:hAnsi="Cambria"/>
      <w:b/>
      <w:bCs/>
      <w:kern w:val="2"/>
      <w:sz w:val="24"/>
      <w:szCs w:val="24"/>
    </w:rPr>
  </w:style>
  <w:style w:type="character" w:customStyle="1" w:styleId="44">
    <w:name w:val="标题 7 字符"/>
    <w:link w:val="9"/>
    <w:autoRedefine/>
    <w:qFormat/>
    <w:uiPriority w:val="9"/>
    <w:rPr>
      <w:b/>
      <w:bCs/>
      <w:kern w:val="2"/>
      <w:sz w:val="24"/>
      <w:szCs w:val="24"/>
    </w:rPr>
  </w:style>
  <w:style w:type="character" w:customStyle="1" w:styleId="45">
    <w:name w:val="标题 8 字符"/>
    <w:link w:val="10"/>
    <w:autoRedefine/>
    <w:qFormat/>
    <w:uiPriority w:val="9"/>
    <w:rPr>
      <w:rFonts w:ascii="Cambria" w:hAnsi="Cambria"/>
      <w:kern w:val="2"/>
      <w:sz w:val="24"/>
      <w:szCs w:val="24"/>
    </w:rPr>
  </w:style>
  <w:style w:type="character" w:customStyle="1" w:styleId="46">
    <w:name w:val="标题 9 字符"/>
    <w:link w:val="11"/>
    <w:autoRedefine/>
    <w:qFormat/>
    <w:uiPriority w:val="9"/>
    <w:rPr>
      <w:rFonts w:ascii="Cambria" w:hAnsi="Cambria"/>
      <w:kern w:val="2"/>
      <w:sz w:val="21"/>
      <w:szCs w:val="21"/>
    </w:rPr>
  </w:style>
  <w:style w:type="character" w:customStyle="1" w:styleId="47">
    <w:name w:val="文档结构图 字符"/>
    <w:link w:val="14"/>
    <w:autoRedefine/>
    <w:semiHidden/>
    <w:qFormat/>
    <w:uiPriority w:val="99"/>
    <w:rPr>
      <w:rFonts w:ascii="宋体" w:hAnsi="Times New Roman" w:eastAsia="宋体" w:cs="Times New Roman"/>
      <w:sz w:val="18"/>
      <w:szCs w:val="18"/>
    </w:rPr>
  </w:style>
  <w:style w:type="character" w:customStyle="1" w:styleId="48">
    <w:name w:val="正文文本缩进 字符"/>
    <w:link w:val="16"/>
    <w:autoRedefine/>
    <w:qFormat/>
    <w:uiPriority w:val="0"/>
    <w:rPr>
      <w:rFonts w:ascii="Arial" w:hAnsi="Arial" w:eastAsia="宋体" w:cs="Times New Roman"/>
      <w:sz w:val="24"/>
      <w:szCs w:val="20"/>
    </w:rPr>
  </w:style>
  <w:style w:type="character" w:customStyle="1" w:styleId="49">
    <w:name w:val="纯文本 字符"/>
    <w:link w:val="19"/>
    <w:autoRedefine/>
    <w:qFormat/>
    <w:uiPriority w:val="0"/>
    <w:rPr>
      <w:rFonts w:ascii="宋体" w:hAnsi="Courier New" w:eastAsia="宋体" w:cs="Times New Roman"/>
      <w:szCs w:val="20"/>
    </w:rPr>
  </w:style>
  <w:style w:type="character" w:customStyle="1" w:styleId="50">
    <w:name w:val="日期 字符"/>
    <w:link w:val="21"/>
    <w:autoRedefine/>
    <w:qFormat/>
    <w:uiPriority w:val="0"/>
    <w:rPr>
      <w:rFonts w:ascii="宋体" w:hAnsi="Times New Roman" w:eastAsia="宋体" w:cs="Times New Roman"/>
      <w:kern w:val="0"/>
      <w:sz w:val="28"/>
      <w:szCs w:val="20"/>
    </w:rPr>
  </w:style>
  <w:style w:type="character" w:customStyle="1" w:styleId="51">
    <w:name w:val="批注框文本 字符"/>
    <w:link w:val="22"/>
    <w:autoRedefine/>
    <w:semiHidden/>
    <w:qFormat/>
    <w:uiPriority w:val="99"/>
    <w:rPr>
      <w:rFonts w:ascii="Times New Roman" w:hAnsi="Times New Roman" w:eastAsia="宋体" w:cs="Times New Roman"/>
      <w:sz w:val="18"/>
      <w:szCs w:val="18"/>
    </w:rPr>
  </w:style>
  <w:style w:type="character" w:customStyle="1" w:styleId="52">
    <w:name w:val="页脚 字符"/>
    <w:link w:val="23"/>
    <w:autoRedefine/>
    <w:qFormat/>
    <w:uiPriority w:val="0"/>
    <w:rPr>
      <w:rFonts w:ascii="Times New Roman" w:hAnsi="Times New Roman" w:eastAsia="宋体" w:cs="Times New Roman"/>
      <w:sz w:val="18"/>
      <w:szCs w:val="18"/>
    </w:rPr>
  </w:style>
  <w:style w:type="character" w:customStyle="1" w:styleId="53">
    <w:name w:val="页眉 字符"/>
    <w:link w:val="24"/>
    <w:autoRedefine/>
    <w:qFormat/>
    <w:uiPriority w:val="0"/>
    <w:rPr>
      <w:rFonts w:ascii="Times New Roman" w:hAnsi="Times New Roman" w:eastAsia="宋体" w:cs="Times New Roman"/>
      <w:sz w:val="18"/>
      <w:szCs w:val="18"/>
    </w:rPr>
  </w:style>
  <w:style w:type="character" w:customStyle="1" w:styleId="54">
    <w:name w:val="正文文本缩进 3 字符"/>
    <w:link w:val="28"/>
    <w:autoRedefine/>
    <w:semiHidden/>
    <w:qFormat/>
    <w:uiPriority w:val="99"/>
    <w:rPr>
      <w:rFonts w:ascii="Times New Roman" w:hAnsi="Times New Roman"/>
      <w:kern w:val="2"/>
      <w:sz w:val="16"/>
      <w:szCs w:val="16"/>
    </w:rPr>
  </w:style>
  <w:style w:type="paragraph" w:customStyle="1" w:styleId="55">
    <w:name w:val="TOC 标题1"/>
    <w:basedOn w:val="3"/>
    <w:next w:val="1"/>
    <w:autoRedefine/>
    <w:qFormat/>
    <w:uiPriority w:val="39"/>
    <w:pPr>
      <w:numPr>
        <w:numId w:val="0"/>
      </w:numPr>
      <w:outlineLvl w:val="9"/>
    </w:pPr>
    <w:rPr>
      <w:rFonts w:ascii="Times New Roman" w:hAnsi="Times New Roman"/>
    </w:rPr>
  </w:style>
  <w:style w:type="paragraph" w:customStyle="1" w:styleId="56">
    <w:name w:val="段"/>
    <w:autoRedefine/>
    <w:qFormat/>
    <w:uiPriority w:val="0"/>
    <w:pPr>
      <w:autoSpaceDE w:val="0"/>
      <w:autoSpaceDN w:val="0"/>
      <w:ind w:firstLine="200" w:firstLineChars="200"/>
      <w:jc w:val="both"/>
    </w:pPr>
    <w:rPr>
      <w:rFonts w:ascii="宋体" w:hAnsi="Times New Roman" w:eastAsia="宋体" w:cs="Times New Roman"/>
      <w:sz w:val="21"/>
      <w:lang w:val="en-US" w:eastAsia="zh-CN" w:bidi="ar-SA"/>
    </w:rPr>
  </w:style>
  <w:style w:type="paragraph" w:customStyle="1" w:styleId="57">
    <w:name w:val="Default"/>
    <w:autoRedefine/>
    <w:qFormat/>
    <w:uiPriority w:val="0"/>
    <w:pPr>
      <w:widowControl w:val="0"/>
      <w:autoSpaceDE w:val="0"/>
      <w:autoSpaceDN w:val="0"/>
      <w:adjustRightInd w:val="0"/>
    </w:pPr>
    <w:rPr>
      <w:rFonts w:ascii="新宋体￠...." w:hAnsi="Calibri" w:eastAsia="新宋体￠...." w:cs="新宋体￠...."/>
      <w:color w:val="000000"/>
      <w:sz w:val="24"/>
      <w:szCs w:val="24"/>
      <w:lang w:val="en-US" w:eastAsia="zh-CN" w:bidi="ar-SA"/>
    </w:rPr>
  </w:style>
  <w:style w:type="paragraph" w:styleId="58">
    <w:name w:val="List Paragraph"/>
    <w:basedOn w:val="1"/>
    <w:autoRedefine/>
    <w:qFormat/>
    <w:uiPriority w:val="34"/>
    <w:pPr>
      <w:ind w:firstLine="420" w:firstLineChars="200"/>
    </w:pPr>
  </w:style>
  <w:style w:type="paragraph" w:customStyle="1" w:styleId="59">
    <w:name w:val="修订1"/>
    <w:autoRedefine/>
    <w:unhideWhenUsed/>
    <w:qFormat/>
    <w:uiPriority w:val="99"/>
    <w:rPr>
      <w:rFonts w:ascii="Times New Roman" w:hAnsi="Times New Roman" w:eastAsia="宋体" w:cs="Times New Roman"/>
      <w:kern w:val="2"/>
      <w:sz w:val="21"/>
      <w:szCs w:val="24"/>
      <w:lang w:val="en-US" w:eastAsia="zh-CN" w:bidi="ar-SA"/>
    </w:rPr>
  </w:style>
  <w:style w:type="paragraph" w:customStyle="1" w:styleId="60">
    <w:name w:val="_Style 1"/>
    <w:basedOn w:val="1"/>
    <w:autoRedefine/>
    <w:qFormat/>
    <w:uiPriority w:val="34"/>
    <w:pPr>
      <w:ind w:firstLine="420" w:firstLineChars="200"/>
    </w:pPr>
  </w:style>
  <w:style w:type="paragraph" w:customStyle="1" w:styleId="61">
    <w:name w:val="二级标题"/>
    <w:basedOn w:val="1"/>
    <w:autoRedefine/>
    <w:qFormat/>
    <w:uiPriority w:val="0"/>
    <w:pPr>
      <w:widowControl/>
      <w:snapToGrid w:val="0"/>
      <w:spacing w:beforeLines="50" w:line="360" w:lineRule="auto"/>
      <w:jc w:val="left"/>
    </w:pPr>
    <w:rPr>
      <w:b/>
      <w:sz w:val="28"/>
    </w:rPr>
  </w:style>
  <w:style w:type="paragraph" w:customStyle="1" w:styleId="62">
    <w:name w:val="样式 首行缩进:  0.99 厘米"/>
    <w:basedOn w:val="1"/>
    <w:autoRedefine/>
    <w:qFormat/>
    <w:uiPriority w:val="0"/>
    <w:pPr>
      <w:spacing w:line="354" w:lineRule="auto"/>
    </w:pPr>
    <w:rPr>
      <w:rFonts w:cs="宋体"/>
      <w:sz w:val="28"/>
      <w:szCs w:val="20"/>
    </w:rPr>
  </w:style>
  <w:style w:type="paragraph" w:customStyle="1" w:styleId="63">
    <w:name w:val="Char"/>
    <w:basedOn w:val="1"/>
    <w:autoRedefine/>
    <w:qFormat/>
    <w:uiPriority w:val="0"/>
    <w:pPr>
      <w:widowControl/>
      <w:spacing w:line="360" w:lineRule="auto"/>
    </w:pPr>
    <w:rPr>
      <w:rFonts w:ascii="宋体" w:hAnsi="宋体"/>
      <w:kern w:val="0"/>
      <w:sz w:val="24"/>
    </w:rPr>
  </w:style>
  <w:style w:type="paragraph" w:customStyle="1" w:styleId="64">
    <w:name w:val="列出段落1"/>
    <w:basedOn w:val="1"/>
    <w:autoRedefine/>
    <w:qFormat/>
    <w:uiPriority w:val="34"/>
    <w:pPr>
      <w:widowControl/>
      <w:spacing w:line="360" w:lineRule="auto"/>
      <w:ind w:firstLine="420" w:firstLineChars="200"/>
    </w:pPr>
    <w:rPr>
      <w:rFonts w:ascii="宋体" w:hAnsi="宋体"/>
      <w:kern w:val="0"/>
      <w:sz w:val="24"/>
      <w:szCs w:val="22"/>
    </w:rPr>
  </w:style>
  <w:style w:type="paragraph" w:customStyle="1" w:styleId="65">
    <w:name w:val="正文-缩进"/>
    <w:basedOn w:val="1"/>
    <w:next w:val="1"/>
    <w:autoRedefine/>
    <w:qFormat/>
    <w:uiPriority w:val="0"/>
    <w:pPr>
      <w:spacing w:line="360" w:lineRule="auto"/>
      <w:ind w:firstLine="200" w:firstLineChars="200"/>
    </w:pPr>
    <w:rPr>
      <w:sz w:val="24"/>
    </w:rPr>
  </w:style>
  <w:style w:type="paragraph" w:customStyle="1" w:styleId="66">
    <w:name w:val="正文-单行"/>
    <w:basedOn w:val="1"/>
    <w:next w:val="1"/>
    <w:autoRedefine/>
    <w:qFormat/>
    <w:uiPriority w:val="0"/>
    <w:rPr>
      <w:sz w:val="24"/>
    </w:rPr>
  </w:style>
  <w:style w:type="paragraph" w:customStyle="1" w:styleId="67">
    <w:name w:val="修订2"/>
    <w:autoRedefine/>
    <w:hidden/>
    <w:semiHidden/>
    <w:qFormat/>
    <w:uiPriority w:val="99"/>
    <w:rPr>
      <w:rFonts w:ascii="Times New Roman" w:hAnsi="Times New Roman" w:eastAsia="宋体" w:cs="Times New Roman"/>
      <w:kern w:val="2"/>
      <w:sz w:val="21"/>
      <w:szCs w:val="24"/>
      <w:lang w:val="en-US" w:eastAsia="zh-CN" w:bidi="ar-SA"/>
    </w:rPr>
  </w:style>
  <w:style w:type="paragraph" w:customStyle="1" w:styleId="68">
    <w:name w:val="修订3"/>
    <w:autoRedefine/>
    <w:hidden/>
    <w:semiHidden/>
    <w:qFormat/>
    <w:uiPriority w:val="99"/>
    <w:rPr>
      <w:rFonts w:ascii="Times New Roman" w:hAnsi="Times New Roman" w:eastAsia="宋体" w:cs="Times New Roman"/>
      <w:kern w:val="2"/>
      <w:sz w:val="21"/>
      <w:szCs w:val="24"/>
      <w:lang w:val="en-US" w:eastAsia="zh-CN" w:bidi="ar-SA"/>
    </w:rPr>
  </w:style>
  <w:style w:type="paragraph" w:customStyle="1" w:styleId="69">
    <w:name w:val="修订4"/>
    <w:autoRedefine/>
    <w:hidden/>
    <w:semiHidden/>
    <w:qFormat/>
    <w:uiPriority w:val="99"/>
    <w:rPr>
      <w:rFonts w:ascii="Times New Roman" w:hAnsi="Times New Roman" w:eastAsia="宋体" w:cs="Times New Roman"/>
      <w:kern w:val="2"/>
      <w:sz w:val="21"/>
      <w:szCs w:val="24"/>
      <w:lang w:val="en-US" w:eastAsia="zh-CN" w:bidi="ar-SA"/>
    </w:rPr>
  </w:style>
  <w:style w:type="paragraph" w:customStyle="1" w:styleId="70">
    <w:name w:val="Revision"/>
    <w:autoRedefine/>
    <w:hidden/>
    <w:unhideWhenUsed/>
    <w:qFormat/>
    <w:uiPriority w:val="99"/>
    <w:rPr>
      <w:rFonts w:ascii="Times New Roman" w:hAnsi="Times New Roman" w:eastAsia="宋体" w:cs="Times New Roman"/>
      <w:kern w:val="2"/>
      <w:sz w:val="21"/>
      <w:szCs w:val="2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theme" Target="theme/theme1.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customXml" Target="../customXml/item2.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A3F0627D-E213-4C35-B461-4A9BEF7339BB}">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36</Pages>
  <Words>231</Words>
  <Characters>238</Characters>
  <Lines>213</Lines>
  <Paragraphs>60</Paragraphs>
  <TotalTime>7</TotalTime>
  <ScaleCrop>false</ScaleCrop>
  <LinksUpToDate>false</LinksUpToDate>
  <CharactersWithSpaces>260</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2023-08-21T09:21:00Z</dcterms:created>
  <dc:creator>向东.cqlj</dc:creator>
  <cp:lastModifiedBy>13330</cp:lastModifiedBy>
  <dcterms:modified xsi:type="dcterms:W3CDTF">2025-03-13T09:55:54Z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2FE1A6B5FA754ECFAD1A4D69344BD79D_13</vt:lpwstr>
  </property>
  <property fmtid="{D5CDD505-2E9C-101B-9397-08002B2CF9AE}" pid="4" name="KSOTemplateDocerSaveRecord">
    <vt:lpwstr>eyJoZGlkIjoiMjg0NmE5YjI2YTI2Yjk2OTdiZWU1ODE3YjQyY2U3ZDUiLCJ1c2VySWQiOiI3NzQwMzU2NzMifQ==</vt:lpwstr>
  </property>
</Properties>
</file>