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ascii="Arial" w:hAnsi="Arial" w:cs="Arial"/>
          <w:b/>
          <w:bCs/>
          <w:color w:val="000000"/>
          <w:sz w:val="36"/>
          <w:szCs w:val="36"/>
          <w14:shadow w14:blurRad="50800" w14:dist="38100" w14:dir="2700000" w14:sx="100000" w14:sy="100000" w14:kx="0" w14:ky="0" w14:algn="tl">
            <w14:srgbClr w14:val="000000">
              <w14:alpha w14:val="60000"/>
            </w14:srgbClr>
          </w14:shadow>
        </w:rPr>
      </w:pPr>
    </w:p>
    <w:p>
      <w:pPr>
        <w:autoSpaceDE w:val="0"/>
        <w:autoSpaceDN w:val="0"/>
        <w:adjustRightInd w:val="0"/>
        <w:spacing w:after="936" w:afterLines="300" w:line="360" w:lineRule="auto"/>
        <w:jc w:val="center"/>
        <w:rPr>
          <w:rFonts w:hint="eastAsia" w:ascii="宋体" w:hAnsi="宋体" w:eastAsia="宋体" w:cs="宋体"/>
          <w:b/>
          <w:bCs/>
          <w:sz w:val="44"/>
          <w:szCs w:val="44"/>
          <w:lang w:val="en-US" w:eastAsia="zh-CN"/>
        </w:rPr>
      </w:pPr>
      <w:r>
        <w:rPr>
          <w:rFonts w:hint="eastAsia" w:ascii="宋体" w:hAnsi="宋体" w:cs="宋体"/>
          <w:b/>
          <w:bCs/>
          <w:sz w:val="44"/>
          <w:szCs w:val="44"/>
          <w:lang w:val="en-US" w:eastAsia="zh-CN"/>
        </w:rPr>
        <w:t>2023-2026年度</w:t>
      </w:r>
      <w:r>
        <w:rPr>
          <w:rFonts w:hint="eastAsia" w:ascii="宋体" w:hAnsi="宋体" w:eastAsia="宋体" w:cs="宋体"/>
          <w:b/>
          <w:bCs/>
          <w:sz w:val="44"/>
          <w:szCs w:val="44"/>
          <w:lang w:val="en-US" w:eastAsia="zh-CN"/>
        </w:rPr>
        <w:t>港桥园区“上大压小”热电联产项目</w:t>
      </w:r>
    </w:p>
    <w:p>
      <w:pPr>
        <w:autoSpaceDE w:val="0"/>
        <w:autoSpaceDN w:val="0"/>
        <w:adjustRightInd w:val="0"/>
        <w:spacing w:after="936" w:afterLines="300"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固定污染源排放烟气连续监测系统</w:t>
      </w:r>
    </w:p>
    <w:p>
      <w:pPr>
        <w:autoSpaceDE w:val="0"/>
        <w:autoSpaceDN w:val="0"/>
        <w:adjustRightInd w:val="0"/>
        <w:spacing w:after="936" w:afterLines="300" w:line="360" w:lineRule="auto"/>
        <w:jc w:val="center"/>
        <w:rPr>
          <w:rFonts w:hint="eastAsia" w:ascii="黑体" w:hAnsi="黑体" w:eastAsia="黑体" w:cs="黑体"/>
          <w:b/>
          <w:bCs/>
          <w:color w:val="auto"/>
          <w:sz w:val="44"/>
          <w:szCs w:val="44"/>
          <w:lang w:val="zh-CN"/>
        </w:rPr>
      </w:pPr>
      <w:r>
        <w:rPr>
          <w:rFonts w:hint="eastAsia" w:ascii="黑体" w:hAnsi="黑体" w:eastAsia="黑体" w:cs="黑体"/>
          <w:b/>
          <w:bCs/>
          <w:color w:val="auto"/>
          <w:sz w:val="44"/>
          <w:szCs w:val="44"/>
          <w:lang w:val="en-US" w:eastAsia="zh-CN"/>
        </w:rPr>
        <w:t>日常外委</w:t>
      </w:r>
      <w:r>
        <w:rPr>
          <w:rFonts w:hint="eastAsia" w:ascii="黑体" w:hAnsi="黑体" w:eastAsia="黑体" w:cs="黑体"/>
          <w:b/>
          <w:bCs/>
          <w:color w:val="auto"/>
          <w:sz w:val="44"/>
          <w:szCs w:val="44"/>
          <w:lang w:val="zh-CN" w:eastAsia="zh-CN"/>
        </w:rPr>
        <w:t>维护技术规范书</w:t>
      </w:r>
    </w:p>
    <w:p>
      <w:pPr>
        <w:autoSpaceDE w:val="0"/>
        <w:autoSpaceDN w:val="0"/>
        <w:adjustRightInd w:val="0"/>
        <w:spacing w:after="468" w:afterLines="150" w:line="360" w:lineRule="auto"/>
        <w:jc w:val="center"/>
        <w:rPr>
          <w:rFonts w:ascii="Arial" w:hAnsi="Arial" w:eastAsia="黑体" w:cs="Arial"/>
          <w:b/>
          <w:bCs/>
          <w:color w:val="000000"/>
          <w:sz w:val="44"/>
          <w:szCs w:val="44"/>
          <w:lang w:val="zh-CN"/>
        </w:rPr>
      </w:pPr>
    </w:p>
    <w:p>
      <w:pPr>
        <w:autoSpaceDE w:val="0"/>
        <w:autoSpaceDN w:val="0"/>
        <w:adjustRightInd w:val="0"/>
        <w:spacing w:after="468" w:afterLines="150" w:line="360" w:lineRule="auto"/>
        <w:jc w:val="center"/>
        <w:rPr>
          <w:rFonts w:hint="eastAsia" w:ascii="Arial" w:hAnsi="Arial" w:eastAsia="黑体" w:cs="Arial"/>
          <w:b/>
          <w:bCs/>
          <w:color w:val="000000"/>
          <w:sz w:val="44"/>
          <w:szCs w:val="44"/>
          <w:lang w:val="zh-CN"/>
        </w:rPr>
      </w:pPr>
    </w:p>
    <w:p>
      <w:pPr>
        <w:autoSpaceDE w:val="0"/>
        <w:autoSpaceDN w:val="0"/>
        <w:adjustRightInd w:val="0"/>
        <w:spacing w:after="468" w:afterLines="150" w:line="360" w:lineRule="auto"/>
        <w:jc w:val="center"/>
        <w:rPr>
          <w:rFonts w:hint="eastAsia" w:ascii="Arial" w:hAnsi="Arial" w:eastAsia="黑体" w:cs="Arial"/>
          <w:b/>
          <w:bCs/>
          <w:color w:val="000000"/>
          <w:sz w:val="44"/>
          <w:szCs w:val="44"/>
          <w:lang w:val="zh-CN"/>
        </w:rPr>
      </w:pPr>
    </w:p>
    <w:p>
      <w:pPr>
        <w:autoSpaceDE w:val="0"/>
        <w:autoSpaceDN w:val="0"/>
        <w:adjustRightInd w:val="0"/>
        <w:spacing w:after="468" w:afterLines="150" w:line="360" w:lineRule="auto"/>
        <w:jc w:val="center"/>
        <w:rPr>
          <w:rFonts w:hint="eastAsia" w:ascii="Arial" w:hAnsi="Arial" w:eastAsia="黑体" w:cs="Arial"/>
          <w:b/>
          <w:bCs/>
          <w:color w:val="000000"/>
          <w:sz w:val="44"/>
          <w:szCs w:val="44"/>
          <w:lang w:val="zh-CN"/>
        </w:rPr>
      </w:pPr>
    </w:p>
    <w:p>
      <w:pPr>
        <w:autoSpaceDE w:val="0"/>
        <w:autoSpaceDN w:val="0"/>
        <w:adjustRightInd w:val="0"/>
        <w:spacing w:after="468" w:afterLines="150" w:line="360" w:lineRule="auto"/>
        <w:jc w:val="center"/>
        <w:rPr>
          <w:rFonts w:hint="eastAsia" w:ascii="Arial" w:hAnsi="Arial" w:eastAsia="黑体" w:cs="Arial"/>
          <w:b/>
          <w:bCs/>
          <w:color w:val="000000"/>
          <w:sz w:val="44"/>
          <w:szCs w:val="44"/>
          <w:lang w:val="zh-CN"/>
        </w:rPr>
      </w:pPr>
    </w:p>
    <w:p>
      <w:pPr>
        <w:autoSpaceDE w:val="0"/>
        <w:autoSpaceDN w:val="0"/>
        <w:adjustRightInd w:val="0"/>
        <w:spacing w:after="468" w:afterLines="150" w:line="360" w:lineRule="auto"/>
        <w:jc w:val="center"/>
        <w:rPr>
          <w:rFonts w:hint="eastAsia" w:ascii="Arial" w:hAnsi="Arial" w:eastAsia="黑体" w:cs="Arial"/>
          <w:b/>
          <w:bCs/>
          <w:color w:val="000000"/>
          <w:sz w:val="44"/>
          <w:szCs w:val="44"/>
          <w:lang w:val="zh-CN"/>
        </w:rPr>
      </w:pPr>
    </w:p>
    <w:p>
      <w:pPr>
        <w:autoSpaceDE w:val="0"/>
        <w:autoSpaceDN w:val="0"/>
        <w:adjustRightInd w:val="0"/>
        <w:spacing w:after="468" w:afterLines="150" w:line="360" w:lineRule="auto"/>
        <w:jc w:val="both"/>
        <w:rPr>
          <w:rFonts w:hint="eastAsia" w:ascii="Arial" w:hAnsi="Arial" w:eastAsia="黑体" w:cs="Arial"/>
          <w:b/>
          <w:bCs/>
          <w:color w:val="000000"/>
          <w:sz w:val="44"/>
          <w:szCs w:val="44"/>
          <w:lang w:val="zh-CN"/>
        </w:rPr>
      </w:pPr>
    </w:p>
    <w:p>
      <w:pPr>
        <w:adjustRightInd w:val="0"/>
        <w:snapToGrid w:val="0"/>
        <w:jc w:val="center"/>
        <w:rPr>
          <w:rFonts w:hint="eastAsia"/>
          <w:b/>
          <w:sz w:val="52"/>
          <w:szCs w:val="52"/>
        </w:rPr>
      </w:pPr>
      <w:r>
        <w:rPr>
          <w:rFonts w:hint="eastAsia"/>
          <w:sz w:val="32"/>
          <w:szCs w:val="32"/>
        </w:rPr>
        <w:t>2023年</w:t>
      </w:r>
      <w:r>
        <w:rPr>
          <w:rFonts w:hint="eastAsia"/>
          <w:sz w:val="32"/>
          <w:szCs w:val="32"/>
          <w:lang w:val="en-US" w:eastAsia="zh-CN"/>
        </w:rPr>
        <w:t>9</w:t>
      </w:r>
      <w:r>
        <w:rPr>
          <w:rFonts w:hint="eastAsia"/>
          <w:sz w:val="32"/>
          <w:szCs w:val="32"/>
        </w:rPr>
        <w:t>月</w:t>
      </w:r>
    </w:p>
    <w:p>
      <w:pPr>
        <w:autoSpaceDE w:val="0"/>
        <w:autoSpaceDN w:val="0"/>
        <w:adjustRightInd w:val="0"/>
        <w:jc w:val="center"/>
        <w:rPr>
          <w:rFonts w:ascii="Arial" w:hAnsi="Arial" w:eastAsia="黑体" w:cs="Arial"/>
          <w:color w:val="000000"/>
        </w:rPr>
      </w:pPr>
    </w:p>
    <w:p>
      <w:pPr>
        <w:spacing w:line="360" w:lineRule="auto"/>
        <w:jc w:val="center"/>
        <w:rPr>
          <w:rFonts w:ascii="宋体" w:hAnsi="宋体" w:cs="宋体"/>
          <w:b/>
          <w:bCs/>
          <w:sz w:val="28"/>
          <w:szCs w:val="28"/>
        </w:rPr>
      </w:pPr>
    </w:p>
    <w:p>
      <w:pPr>
        <w:spacing w:line="360" w:lineRule="auto"/>
        <w:jc w:val="center"/>
        <w:rPr>
          <w:rFonts w:hint="eastAsia" w:ascii="宋体" w:hAnsi="宋体" w:cs="宋体"/>
          <w:b/>
          <w:bCs/>
          <w:sz w:val="28"/>
          <w:szCs w:val="28"/>
        </w:rPr>
      </w:pPr>
      <w:r>
        <w:rPr>
          <w:rFonts w:hint="eastAsia" w:ascii="宋体" w:hAnsi="宋体" w:cs="宋体"/>
          <w:b/>
          <w:bCs/>
          <w:sz w:val="28"/>
          <w:szCs w:val="28"/>
        </w:rPr>
        <w:t>目  录</w:t>
      </w:r>
    </w:p>
    <w:p>
      <w:pPr>
        <w:pStyle w:val="11"/>
        <w:tabs>
          <w:tab w:val="right" w:leader="dot" w:pos="9638"/>
        </w:tabs>
      </w:pPr>
      <w:r>
        <w:rPr>
          <w:rFonts w:hint="eastAsia" w:ascii="宋体" w:hAnsi="宋体" w:cs="宋体"/>
          <w:b/>
          <w:bCs/>
          <w:sz w:val="28"/>
          <w:szCs w:val="28"/>
        </w:rPr>
        <w:fldChar w:fldCharType="begin"/>
      </w:r>
      <w:r>
        <w:rPr>
          <w:rFonts w:hint="eastAsia" w:ascii="宋体" w:hAnsi="宋体" w:cs="宋体"/>
          <w:b/>
          <w:bCs/>
          <w:sz w:val="28"/>
          <w:szCs w:val="28"/>
        </w:rPr>
        <w:instrText xml:space="preserve">TOC \o "1-2" \h \u </w:instrText>
      </w:r>
      <w:r>
        <w:rPr>
          <w:rFonts w:hint="eastAsia" w:ascii="宋体" w:hAnsi="宋体" w:cs="宋体"/>
          <w:b/>
          <w:bCs/>
          <w:sz w:val="28"/>
          <w:szCs w:val="28"/>
        </w:rPr>
        <w:fldChar w:fldCharType="separate"/>
      </w:r>
      <w:r>
        <w:rPr>
          <w:rFonts w:hint="eastAsia" w:ascii="宋体" w:hAnsi="宋体" w:cs="宋体"/>
          <w:bCs/>
          <w:szCs w:val="28"/>
        </w:rPr>
        <w:fldChar w:fldCharType="begin"/>
      </w:r>
      <w:r>
        <w:rPr>
          <w:rFonts w:hint="eastAsia" w:ascii="宋体" w:hAnsi="宋体" w:cs="宋体"/>
          <w:bCs/>
          <w:szCs w:val="28"/>
        </w:rPr>
        <w:instrText xml:space="preserve"> HYPERLINK \l _Toc28463 </w:instrText>
      </w:r>
      <w:r>
        <w:rPr>
          <w:rFonts w:hint="eastAsia" w:ascii="宋体" w:hAnsi="宋体" w:cs="宋体"/>
          <w:bCs/>
          <w:szCs w:val="28"/>
        </w:rPr>
        <w:fldChar w:fldCharType="separate"/>
      </w:r>
      <w:r>
        <w:rPr>
          <w:rFonts w:hint="eastAsia" w:ascii="宋体" w:hAnsi="宋体" w:eastAsia="宋体" w:cs="宋体"/>
        </w:rPr>
        <w:t>一、 运营维护范围</w:t>
      </w:r>
      <w:r>
        <w:tab/>
      </w:r>
      <w:r>
        <w:fldChar w:fldCharType="begin"/>
      </w:r>
      <w:r>
        <w:instrText xml:space="preserve"> PAGEREF _Toc28463 \h </w:instrText>
      </w:r>
      <w:r>
        <w:fldChar w:fldCharType="separate"/>
      </w:r>
      <w:r>
        <w:t>1</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_Toc4159 </w:instrText>
      </w:r>
      <w:r>
        <w:rPr>
          <w:rFonts w:hint="eastAsia" w:ascii="宋体" w:hAnsi="宋体" w:cs="宋体"/>
          <w:bCs/>
          <w:szCs w:val="28"/>
        </w:rPr>
        <w:fldChar w:fldCharType="separate"/>
      </w:r>
      <w:r>
        <w:rPr>
          <w:rFonts w:hint="eastAsia" w:ascii="宋体" w:hAnsi="宋体" w:eastAsia="宋体" w:cs="宋体"/>
        </w:rPr>
        <w:t>二、 维护依据</w:t>
      </w:r>
      <w:r>
        <w:tab/>
      </w:r>
      <w:r>
        <w:fldChar w:fldCharType="begin"/>
      </w:r>
      <w:r>
        <w:instrText xml:space="preserve"> PAGEREF _Toc4159 \h </w:instrText>
      </w:r>
      <w:r>
        <w:fldChar w:fldCharType="separate"/>
      </w:r>
      <w:r>
        <w:t>1</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_Toc14534 </w:instrText>
      </w:r>
      <w:r>
        <w:rPr>
          <w:rFonts w:hint="eastAsia" w:ascii="宋体" w:hAnsi="宋体" w:cs="宋体"/>
          <w:bCs/>
          <w:szCs w:val="28"/>
        </w:rPr>
        <w:fldChar w:fldCharType="separate"/>
      </w:r>
      <w:r>
        <w:rPr>
          <w:rFonts w:hint="eastAsia" w:ascii="宋体" w:hAnsi="宋体" w:eastAsia="宋体" w:cs="宋体"/>
        </w:rPr>
        <w:t xml:space="preserve">三、 </w:t>
      </w:r>
      <w:r>
        <w:rPr>
          <w:rFonts w:hint="eastAsia" w:ascii="宋体" w:hAnsi="宋体" w:eastAsia="宋体" w:cs="宋体"/>
          <w:lang w:val="en-US" w:eastAsia="zh-CN"/>
        </w:rPr>
        <w:t>投标方</w:t>
      </w:r>
      <w:r>
        <w:rPr>
          <w:rFonts w:hint="eastAsia" w:ascii="宋体" w:hAnsi="宋体" w:eastAsia="宋体" w:cs="宋体"/>
        </w:rPr>
        <w:t>服务承诺</w:t>
      </w:r>
      <w:r>
        <w:tab/>
      </w:r>
      <w:r>
        <w:fldChar w:fldCharType="begin"/>
      </w:r>
      <w:r>
        <w:instrText xml:space="preserve"> PAGEREF _Toc14534 \h </w:instrText>
      </w:r>
      <w:r>
        <w:fldChar w:fldCharType="separate"/>
      </w:r>
      <w:r>
        <w:t>2</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_Toc30395 </w:instrText>
      </w:r>
      <w:r>
        <w:rPr>
          <w:rFonts w:hint="eastAsia" w:ascii="宋体" w:hAnsi="宋体" w:cs="宋体"/>
          <w:bCs/>
          <w:szCs w:val="28"/>
        </w:rPr>
        <w:fldChar w:fldCharType="separate"/>
      </w:r>
      <w:r>
        <w:rPr>
          <w:rFonts w:hint="eastAsia" w:ascii="宋体" w:hAnsi="宋体" w:eastAsia="宋体" w:cs="宋体"/>
        </w:rPr>
        <w:t xml:space="preserve">四、 </w:t>
      </w:r>
      <w:r>
        <w:rPr>
          <w:rFonts w:hint="eastAsia" w:ascii="宋体" w:hAnsi="宋体" w:eastAsia="宋体" w:cs="宋体"/>
          <w:lang w:val="en-US" w:eastAsia="zh-CN"/>
        </w:rPr>
        <w:t>投标方资质和</w:t>
      </w:r>
      <w:r>
        <w:rPr>
          <w:rFonts w:hint="eastAsia" w:ascii="宋体" w:hAnsi="宋体" w:eastAsia="宋体" w:cs="宋体"/>
        </w:rPr>
        <w:t>人员</w:t>
      </w:r>
      <w:r>
        <w:rPr>
          <w:rFonts w:hint="eastAsia" w:ascii="宋体" w:hAnsi="宋体" w:eastAsia="宋体" w:cs="宋体"/>
          <w:lang w:val="en-US" w:eastAsia="zh-CN"/>
        </w:rPr>
        <w:t>要求</w:t>
      </w:r>
      <w:r>
        <w:tab/>
      </w:r>
      <w:r>
        <w:fldChar w:fldCharType="begin"/>
      </w:r>
      <w:r>
        <w:instrText xml:space="preserve"> PAGEREF _Toc30395 \h </w:instrText>
      </w:r>
      <w:r>
        <w:fldChar w:fldCharType="separate"/>
      </w:r>
      <w:r>
        <w:t>2</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_Toc17964 </w:instrText>
      </w:r>
      <w:r>
        <w:rPr>
          <w:rFonts w:hint="eastAsia" w:ascii="宋体" w:hAnsi="宋体" w:cs="宋体"/>
          <w:bCs/>
          <w:szCs w:val="28"/>
        </w:rPr>
        <w:fldChar w:fldCharType="separate"/>
      </w:r>
      <w:r>
        <w:rPr>
          <w:rFonts w:hint="eastAsia" w:ascii="宋体" w:hAnsi="宋体" w:eastAsia="宋体" w:cs="宋体"/>
        </w:rPr>
        <w:t xml:space="preserve">五、 </w:t>
      </w:r>
      <w:r>
        <w:rPr>
          <w:rFonts w:hint="eastAsia" w:ascii="宋体" w:hAnsi="宋体" w:eastAsia="宋体" w:cs="宋体"/>
          <w:lang w:val="en-US" w:eastAsia="zh-CN"/>
        </w:rPr>
        <w:t>投标方</w:t>
      </w:r>
      <w:r>
        <w:rPr>
          <w:rFonts w:hint="eastAsia" w:ascii="宋体" w:hAnsi="宋体" w:eastAsia="宋体" w:cs="宋体"/>
        </w:rPr>
        <w:t>维护人员岗位职责</w:t>
      </w:r>
      <w:r>
        <w:tab/>
      </w:r>
      <w:r>
        <w:fldChar w:fldCharType="begin"/>
      </w:r>
      <w:r>
        <w:instrText xml:space="preserve"> PAGEREF _Toc17964 \h </w:instrText>
      </w:r>
      <w:r>
        <w:fldChar w:fldCharType="separate"/>
      </w:r>
      <w:r>
        <w:t>3</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_Toc27679 </w:instrText>
      </w:r>
      <w:r>
        <w:rPr>
          <w:rFonts w:hint="eastAsia" w:ascii="宋体" w:hAnsi="宋体" w:cs="宋体"/>
          <w:bCs/>
          <w:szCs w:val="28"/>
        </w:rPr>
        <w:fldChar w:fldCharType="separate"/>
      </w:r>
      <w:r>
        <w:rPr>
          <w:rFonts w:hint="eastAsia" w:ascii="宋体" w:hAnsi="宋体" w:eastAsia="宋体" w:cs="宋体"/>
          <w:szCs w:val="32"/>
        </w:rPr>
        <w:t xml:space="preserve">六、 </w:t>
      </w:r>
      <w:r>
        <w:rPr>
          <w:rFonts w:hint="eastAsia" w:ascii="宋体" w:hAnsi="宋体" w:eastAsia="宋体" w:cs="宋体"/>
          <w:szCs w:val="32"/>
          <w:lang w:val="en-US" w:eastAsia="zh-CN"/>
        </w:rPr>
        <w:t>投标方</w:t>
      </w:r>
      <w:r>
        <w:rPr>
          <w:rFonts w:hint="eastAsia" w:ascii="宋体" w:hAnsi="宋体" w:eastAsia="宋体" w:cs="宋体"/>
          <w:szCs w:val="32"/>
        </w:rPr>
        <w:t>材料储备、施工用机具配置</w:t>
      </w:r>
      <w:r>
        <w:tab/>
      </w:r>
      <w:r>
        <w:fldChar w:fldCharType="begin"/>
      </w:r>
      <w:r>
        <w:instrText xml:space="preserve"> PAGEREF _Toc27679 \h </w:instrText>
      </w:r>
      <w:r>
        <w:fldChar w:fldCharType="separate"/>
      </w:r>
      <w:r>
        <w:t>4</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_Toc27878 </w:instrText>
      </w:r>
      <w:r>
        <w:rPr>
          <w:rFonts w:hint="eastAsia" w:ascii="宋体" w:hAnsi="宋体" w:cs="宋体"/>
          <w:bCs/>
          <w:szCs w:val="28"/>
        </w:rPr>
        <w:fldChar w:fldCharType="separate"/>
      </w:r>
      <w:r>
        <w:rPr>
          <w:rFonts w:hint="eastAsia" w:ascii="宋体" w:hAnsi="宋体" w:eastAsia="宋体" w:cs="宋体"/>
        </w:rPr>
        <w:t xml:space="preserve">七、 </w:t>
      </w:r>
      <w:r>
        <w:rPr>
          <w:rFonts w:hint="eastAsia" w:ascii="宋体" w:hAnsi="宋体" w:eastAsia="宋体" w:cs="宋体"/>
          <w:lang w:val="en-US" w:eastAsia="zh-CN"/>
        </w:rPr>
        <w:t>投标方</w:t>
      </w:r>
      <w:r>
        <w:rPr>
          <w:rFonts w:hint="eastAsia" w:ascii="宋体" w:hAnsi="宋体" w:eastAsia="宋体" w:cs="宋体"/>
        </w:rPr>
        <w:t>运行维护</w:t>
      </w:r>
      <w:r>
        <w:rPr>
          <w:rFonts w:hint="eastAsia" w:ascii="宋体" w:hAnsi="宋体" w:eastAsia="宋体" w:cs="宋体"/>
          <w:lang w:val="en-US" w:eastAsia="zh-CN"/>
        </w:rPr>
        <w:t>要求</w:t>
      </w:r>
      <w:r>
        <w:tab/>
      </w:r>
      <w:r>
        <w:fldChar w:fldCharType="begin"/>
      </w:r>
      <w:r>
        <w:instrText xml:space="preserve"> PAGEREF _Toc27878 \h </w:instrText>
      </w:r>
      <w:r>
        <w:fldChar w:fldCharType="separate"/>
      </w:r>
      <w:r>
        <w:t>4</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_Toc17501 </w:instrText>
      </w:r>
      <w:r>
        <w:rPr>
          <w:rFonts w:hint="eastAsia" w:ascii="宋体" w:hAnsi="宋体" w:cs="宋体"/>
          <w:bCs/>
          <w:szCs w:val="28"/>
        </w:rPr>
        <w:fldChar w:fldCharType="separate"/>
      </w:r>
      <w:r>
        <w:rPr>
          <w:rFonts w:hint="eastAsia" w:ascii="宋体" w:hAnsi="宋体" w:eastAsia="宋体" w:cs="宋体"/>
        </w:rPr>
        <w:t>八、 工作流程</w:t>
      </w:r>
      <w:r>
        <w:tab/>
      </w:r>
      <w:r>
        <w:fldChar w:fldCharType="begin"/>
      </w:r>
      <w:r>
        <w:instrText xml:space="preserve"> PAGEREF _Toc17501 \h </w:instrText>
      </w:r>
      <w:r>
        <w:fldChar w:fldCharType="separate"/>
      </w:r>
      <w:r>
        <w:t>8</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_Toc23423 </w:instrText>
      </w:r>
      <w:r>
        <w:rPr>
          <w:rFonts w:hint="eastAsia" w:ascii="宋体" w:hAnsi="宋体" w:cs="宋体"/>
          <w:bCs/>
          <w:szCs w:val="28"/>
        </w:rPr>
        <w:fldChar w:fldCharType="separate"/>
      </w:r>
      <w:r>
        <w:rPr>
          <w:rFonts w:hint="eastAsia" w:ascii="宋体" w:hAnsi="宋体" w:eastAsia="宋体" w:cs="宋体"/>
        </w:rPr>
        <w:t xml:space="preserve">九、 </w:t>
      </w:r>
      <w:r>
        <w:rPr>
          <w:rFonts w:hint="eastAsia" w:ascii="宋体" w:hAnsi="宋体" w:eastAsia="宋体" w:cs="宋体"/>
          <w:lang w:val="en-US" w:eastAsia="zh-CN"/>
        </w:rPr>
        <w:t>投标方</w:t>
      </w:r>
      <w:r>
        <w:rPr>
          <w:rFonts w:hint="eastAsia" w:ascii="宋体" w:hAnsi="宋体" w:eastAsia="宋体" w:cs="宋体"/>
        </w:rPr>
        <w:t>管理制度</w:t>
      </w:r>
      <w:r>
        <w:tab/>
      </w:r>
      <w:r>
        <w:fldChar w:fldCharType="begin"/>
      </w:r>
      <w:r>
        <w:instrText xml:space="preserve"> PAGEREF _Toc23423 \h </w:instrText>
      </w:r>
      <w:r>
        <w:fldChar w:fldCharType="separate"/>
      </w:r>
      <w:r>
        <w:t>8</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_Toc31927 </w:instrText>
      </w:r>
      <w:r>
        <w:rPr>
          <w:rFonts w:hint="eastAsia" w:ascii="宋体" w:hAnsi="宋体" w:cs="宋体"/>
          <w:bCs/>
          <w:szCs w:val="28"/>
        </w:rPr>
        <w:fldChar w:fldCharType="separate"/>
      </w:r>
      <w:r>
        <w:rPr>
          <w:rFonts w:hint="eastAsia" w:ascii="宋体" w:hAnsi="宋体" w:eastAsia="宋体" w:cs="宋体"/>
        </w:rPr>
        <w:t xml:space="preserve">十、 </w:t>
      </w:r>
      <w:r>
        <w:rPr>
          <w:rFonts w:hint="eastAsia" w:ascii="宋体" w:hAnsi="宋体" w:eastAsia="宋体" w:cs="宋体"/>
          <w:lang w:val="en-US" w:eastAsia="zh-CN"/>
        </w:rPr>
        <w:t>投标方</w:t>
      </w:r>
      <w:r>
        <w:rPr>
          <w:rFonts w:hint="eastAsia" w:ascii="宋体" w:hAnsi="宋体" w:eastAsia="宋体" w:cs="宋体"/>
        </w:rPr>
        <w:t>过程记录</w:t>
      </w:r>
      <w:r>
        <w:rPr>
          <w:rFonts w:hint="eastAsia" w:ascii="宋体" w:hAnsi="宋体" w:eastAsia="宋体" w:cs="宋体"/>
          <w:lang w:val="en-US" w:eastAsia="zh-CN"/>
        </w:rPr>
        <w:t>要求</w:t>
      </w:r>
      <w:r>
        <w:tab/>
      </w:r>
      <w:r>
        <w:fldChar w:fldCharType="begin"/>
      </w:r>
      <w:r>
        <w:instrText xml:space="preserve"> PAGEREF _Toc31927 \h </w:instrText>
      </w:r>
      <w:r>
        <w:fldChar w:fldCharType="separate"/>
      </w:r>
      <w:r>
        <w:t>9</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_Toc26534 </w:instrText>
      </w:r>
      <w:r>
        <w:rPr>
          <w:rFonts w:hint="eastAsia" w:ascii="宋体" w:hAnsi="宋体" w:cs="宋体"/>
          <w:bCs/>
          <w:szCs w:val="28"/>
        </w:rPr>
        <w:fldChar w:fldCharType="separate"/>
      </w:r>
      <w:r>
        <w:rPr>
          <w:rFonts w:hint="eastAsia" w:ascii="宋体" w:hAnsi="宋体" w:eastAsia="宋体" w:cs="宋体"/>
        </w:rPr>
        <w:t xml:space="preserve">十一、 </w:t>
      </w:r>
      <w:r>
        <w:rPr>
          <w:rFonts w:hint="eastAsia" w:ascii="宋体" w:hAnsi="宋体" w:eastAsia="宋体" w:cs="宋体"/>
          <w:lang w:val="en-US" w:eastAsia="zh-CN"/>
        </w:rPr>
        <w:t>投标方</w:t>
      </w:r>
      <w:r>
        <w:rPr>
          <w:rFonts w:hint="eastAsia" w:ascii="宋体" w:hAnsi="宋体" w:eastAsia="宋体" w:cs="宋体"/>
        </w:rPr>
        <w:t>质量管理措施</w:t>
      </w:r>
      <w:r>
        <w:tab/>
      </w:r>
      <w:r>
        <w:fldChar w:fldCharType="begin"/>
      </w:r>
      <w:r>
        <w:instrText xml:space="preserve"> PAGEREF _Toc26534 \h </w:instrText>
      </w:r>
      <w:r>
        <w:fldChar w:fldCharType="separate"/>
      </w:r>
      <w:r>
        <w:t>9</w:t>
      </w:r>
      <w:r>
        <w:fldChar w:fldCharType="end"/>
      </w:r>
      <w:r>
        <w:rPr>
          <w:rFonts w:hint="eastAsia" w:ascii="宋体" w:hAnsi="宋体" w:cs="宋体"/>
          <w:bCs/>
          <w:szCs w:val="28"/>
        </w:rPr>
        <w:fldChar w:fldCharType="end"/>
      </w:r>
    </w:p>
    <w:p>
      <w:pPr>
        <w:pStyle w:val="11"/>
        <w:tabs>
          <w:tab w:val="right" w:leader="dot" w:pos="9638"/>
        </w:tabs>
      </w:pPr>
      <w:r>
        <w:rPr>
          <w:rFonts w:hint="eastAsia" w:ascii="宋体" w:hAnsi="宋体" w:cs="宋体"/>
          <w:bCs/>
          <w:szCs w:val="28"/>
        </w:rPr>
        <w:fldChar w:fldCharType="begin"/>
      </w:r>
      <w:r>
        <w:rPr>
          <w:rFonts w:hint="eastAsia" w:ascii="宋体" w:hAnsi="宋体" w:cs="宋体"/>
          <w:bCs/>
          <w:szCs w:val="28"/>
        </w:rPr>
        <w:instrText xml:space="preserve"> HYPERLINK \l _Toc29639 </w:instrText>
      </w:r>
      <w:r>
        <w:rPr>
          <w:rFonts w:hint="eastAsia" w:ascii="宋体" w:hAnsi="宋体" w:cs="宋体"/>
          <w:bCs/>
          <w:szCs w:val="28"/>
        </w:rPr>
        <w:fldChar w:fldCharType="separate"/>
      </w:r>
      <w:r>
        <w:rPr>
          <w:rFonts w:hint="eastAsia" w:ascii="宋体" w:hAnsi="宋体" w:eastAsia="宋体" w:cs="宋体"/>
          <w:szCs w:val="30"/>
          <w:lang w:val="en-US" w:eastAsia="zh-CN"/>
        </w:rPr>
        <w:t>十二、 考核条款</w:t>
      </w:r>
      <w:r>
        <w:tab/>
      </w:r>
      <w:r>
        <w:fldChar w:fldCharType="begin"/>
      </w:r>
      <w:r>
        <w:instrText xml:space="preserve"> PAGEREF _Toc29639 \h </w:instrText>
      </w:r>
      <w:r>
        <w:fldChar w:fldCharType="separate"/>
      </w:r>
      <w:r>
        <w:t>10</w:t>
      </w:r>
      <w:r>
        <w:fldChar w:fldCharType="end"/>
      </w:r>
      <w:r>
        <w:rPr>
          <w:rFonts w:hint="eastAsia" w:ascii="宋体" w:hAnsi="宋体" w:cs="宋体"/>
          <w:bCs/>
          <w:szCs w:val="28"/>
        </w:rPr>
        <w:fldChar w:fldCharType="end"/>
      </w:r>
    </w:p>
    <w:p>
      <w:pPr>
        <w:adjustRightInd w:val="0"/>
        <w:spacing w:line="360" w:lineRule="auto"/>
        <w:ind w:firstLine="1281"/>
        <w:rPr>
          <w:rFonts w:hint="eastAsia" w:ascii="宋体" w:hAnsi="宋体" w:cs="宋体"/>
          <w:sz w:val="36"/>
          <w:szCs w:val="36"/>
        </w:rPr>
        <w:sectPr>
          <w:headerReference r:id="rId3" w:type="default"/>
          <w:footerReference r:id="rId4" w:type="default"/>
          <w:footerReference r:id="rId5" w:type="even"/>
          <w:pgSz w:w="11906" w:h="16838"/>
          <w:pgMar w:top="1134" w:right="1134" w:bottom="1134" w:left="1134" w:header="851" w:footer="992" w:gutter="0"/>
          <w:cols w:space="720" w:num="1"/>
          <w:docGrid w:type="lines" w:linePitch="312" w:charSpace="0"/>
        </w:sectPr>
      </w:pPr>
      <w:r>
        <w:rPr>
          <w:rFonts w:hint="eastAsia" w:ascii="宋体" w:hAnsi="宋体" w:cs="宋体"/>
          <w:bCs/>
          <w:szCs w:val="28"/>
        </w:rPr>
        <w:fldChar w:fldCharType="end"/>
      </w:r>
      <w:bookmarkStart w:id="41" w:name="_GoBack"/>
      <w:bookmarkEnd w:id="41"/>
    </w:p>
    <w:p>
      <w:pPr>
        <w:keepNext/>
        <w:keepLines/>
        <w:spacing w:line="480" w:lineRule="auto"/>
        <w:jc w:val="center"/>
        <w:rPr>
          <w:rFonts w:hint="eastAsia" w:ascii="宋体" w:hAnsi="宋体" w:cs="宋体"/>
          <w:b/>
          <w:sz w:val="36"/>
          <w:szCs w:val="36"/>
        </w:rPr>
      </w:pPr>
    </w:p>
    <w:p>
      <w:pPr>
        <w:pStyle w:val="3"/>
        <w:numPr>
          <w:ilvl w:val="0"/>
          <w:numId w:val="1"/>
        </w:numPr>
        <w:spacing w:before="156" w:beforeLines="50" w:after="0" w:line="480" w:lineRule="auto"/>
        <w:rPr>
          <w:rFonts w:hint="eastAsia" w:ascii="宋体" w:hAnsi="宋体" w:eastAsia="宋体" w:cs="宋体"/>
        </w:rPr>
      </w:pPr>
      <w:bookmarkStart w:id="0" w:name="_Toc30074"/>
      <w:bookmarkStart w:id="1" w:name="_Toc28463"/>
      <w:r>
        <w:rPr>
          <w:rFonts w:hint="eastAsia" w:ascii="宋体" w:hAnsi="宋体" w:eastAsia="宋体" w:cs="宋体"/>
        </w:rPr>
        <w:t>运营维护范围</w:t>
      </w:r>
      <w:bookmarkEnd w:id="0"/>
      <w:bookmarkEnd w:id="1"/>
    </w:p>
    <w:p>
      <w:pPr>
        <w:spacing w:line="360" w:lineRule="auto"/>
        <w:ind w:left="420" w:firstLine="560" w:firstLineChars="200"/>
        <w:rPr>
          <w:rFonts w:ascii="宋体" w:hAnsi="宋体" w:cs="宋体"/>
          <w:sz w:val="28"/>
          <w:szCs w:val="28"/>
        </w:rPr>
      </w:pPr>
      <w:r>
        <w:rPr>
          <w:rFonts w:hint="eastAsia" w:ascii="宋体" w:hAnsi="宋体" w:cs="宋体"/>
          <w:sz w:val="28"/>
          <w:szCs w:val="28"/>
          <w:lang w:val="en-GB"/>
        </w:rPr>
        <w:t>港桥园区“上大压小”热电联产项目</w:t>
      </w:r>
      <w:r>
        <w:rPr>
          <w:rFonts w:hint="eastAsia" w:ascii="宋体" w:hAnsi="宋体" w:cs="宋体"/>
          <w:sz w:val="28"/>
          <w:szCs w:val="28"/>
          <w:lang w:val="en-GB" w:eastAsia="zh-CN"/>
        </w:rPr>
        <w:t>固定污染源排放烟气连续监测系统</w:t>
      </w:r>
      <w:r>
        <w:rPr>
          <w:rFonts w:hint="eastAsia" w:ascii="宋体" w:hAnsi="宋体" w:cs="宋体"/>
          <w:sz w:val="28"/>
          <w:szCs w:val="28"/>
          <w:lang w:val="en-US" w:eastAsia="zh-CN"/>
        </w:rPr>
        <w:t>日常外委维护</w:t>
      </w:r>
      <w:r>
        <w:rPr>
          <w:rFonts w:hint="eastAsia" w:ascii="宋体" w:hAnsi="宋体" w:cs="宋体"/>
          <w:sz w:val="28"/>
          <w:szCs w:val="28"/>
        </w:rPr>
        <w:t>。包含：对气体流速、流量、压力、氧含量、含湿量、氮氧化物、二氧化硫、</w:t>
      </w:r>
      <w:r>
        <w:rPr>
          <w:rFonts w:hint="eastAsia" w:ascii="宋体" w:hAnsi="宋体" w:cs="宋体"/>
          <w:sz w:val="28"/>
          <w:szCs w:val="28"/>
          <w:lang w:val="en-US" w:eastAsia="zh-CN"/>
        </w:rPr>
        <w:t>颗粒物、</w:t>
      </w:r>
      <w:r>
        <w:rPr>
          <w:rFonts w:hint="eastAsia" w:ascii="宋体" w:hAnsi="宋体" w:cs="宋体"/>
          <w:sz w:val="28"/>
          <w:szCs w:val="28"/>
        </w:rPr>
        <w:t>氨逃逸等参数2</w:t>
      </w:r>
      <w:r>
        <w:rPr>
          <w:rFonts w:ascii="宋体" w:hAnsi="宋体" w:cs="宋体"/>
          <w:sz w:val="28"/>
          <w:szCs w:val="28"/>
        </w:rPr>
        <w:t>4H</w:t>
      </w:r>
      <w:r>
        <w:rPr>
          <w:rFonts w:hint="eastAsia" w:ascii="宋体" w:hAnsi="宋体" w:cs="宋体"/>
          <w:sz w:val="28"/>
          <w:szCs w:val="28"/>
        </w:rPr>
        <w:t>保证有</w:t>
      </w:r>
      <w:r>
        <w:rPr>
          <w:rFonts w:ascii="宋体" w:hAnsi="宋体" w:cs="宋体"/>
          <w:sz w:val="28"/>
          <w:szCs w:val="28"/>
        </w:rPr>
        <w:t>24</w:t>
      </w:r>
      <w:r>
        <w:rPr>
          <w:rFonts w:hint="eastAsia" w:ascii="宋体" w:hAnsi="宋体" w:cs="宋体"/>
          <w:sz w:val="28"/>
          <w:szCs w:val="28"/>
        </w:rPr>
        <w:t>组测试数据，上传有效数据组≥</w:t>
      </w:r>
      <w:r>
        <w:rPr>
          <w:rFonts w:ascii="宋体" w:hAnsi="宋体" w:cs="宋体"/>
          <w:sz w:val="28"/>
          <w:szCs w:val="28"/>
        </w:rPr>
        <w:t>24</w:t>
      </w:r>
      <w:r>
        <w:rPr>
          <w:rFonts w:hint="eastAsia" w:ascii="宋体" w:hAnsi="宋体" w:cs="宋体"/>
          <w:sz w:val="28"/>
          <w:szCs w:val="28"/>
        </w:rPr>
        <w:t>组。参与统计的有效数据不低于所捕获数据的</w:t>
      </w:r>
      <w:r>
        <w:rPr>
          <w:rFonts w:hint="eastAsia" w:ascii="宋体" w:hAnsi="宋体" w:cs="宋体"/>
          <w:sz w:val="28"/>
          <w:szCs w:val="28"/>
          <w:lang w:val="en-US" w:eastAsia="zh-CN"/>
        </w:rPr>
        <w:t>90</w:t>
      </w:r>
      <w:r>
        <w:rPr>
          <w:rFonts w:hint="eastAsia" w:ascii="宋体" w:hAnsi="宋体" w:cs="宋体"/>
          <w:sz w:val="28"/>
          <w:szCs w:val="28"/>
        </w:rPr>
        <w:t>%</w:t>
      </w:r>
      <w:r>
        <w:rPr>
          <w:rFonts w:hint="eastAsia" w:ascii="宋体" w:hAnsi="宋体" w:cs="宋体"/>
          <w:sz w:val="28"/>
          <w:szCs w:val="28"/>
          <w:lang w:val="en-US" w:eastAsia="zh-CN"/>
        </w:rPr>
        <w:t>且满足环保要求</w:t>
      </w:r>
      <w:r>
        <w:rPr>
          <w:rFonts w:hint="eastAsia" w:ascii="宋体" w:hAnsi="宋体" w:cs="宋体"/>
          <w:sz w:val="28"/>
          <w:szCs w:val="28"/>
        </w:rPr>
        <w:t>。</w:t>
      </w:r>
    </w:p>
    <w:p>
      <w:pPr>
        <w:widowControl/>
        <w:spacing w:line="480" w:lineRule="auto"/>
        <w:ind w:left="559" w:leftChars="266"/>
        <w:jc w:val="left"/>
        <w:rPr>
          <w:rFonts w:ascii="宋体" w:hAnsi="宋体" w:cs="宋体"/>
          <w:sz w:val="28"/>
          <w:szCs w:val="28"/>
        </w:rPr>
      </w:pPr>
      <w:r>
        <w:rPr>
          <w:rFonts w:hint="eastAsia" w:ascii="宋体" w:hAnsi="宋体" w:cs="宋体"/>
          <w:sz w:val="28"/>
          <w:szCs w:val="28"/>
          <w:highlight w:val="none"/>
        </w:rPr>
        <w:t>维护设备包含（详单见附件）：</w:t>
      </w:r>
    </w:p>
    <w:p>
      <w:pPr>
        <w:widowControl/>
        <w:numPr>
          <w:ilvl w:val="0"/>
          <w:numId w:val="2"/>
        </w:numPr>
        <w:spacing w:line="480" w:lineRule="auto"/>
        <w:ind w:left="0" w:leftChars="0" w:firstLine="560" w:firstLineChars="200"/>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余热锅炉烟囱排口废气在线监测设备一套（赛默飞，包含数采仪）；</w:t>
      </w:r>
    </w:p>
    <w:p>
      <w:pPr>
        <w:widowControl/>
        <w:numPr>
          <w:ilvl w:val="0"/>
          <w:numId w:val="2"/>
        </w:numPr>
        <w:spacing w:line="480" w:lineRule="auto"/>
        <w:ind w:left="0" w:leftChars="0" w:firstLine="560" w:firstLineChars="200"/>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脱硝在线监测设备一套（北京雪迪龙）；</w:t>
      </w:r>
    </w:p>
    <w:p>
      <w:pPr>
        <w:widowControl/>
        <w:numPr>
          <w:ilvl w:val="0"/>
          <w:numId w:val="2"/>
        </w:numPr>
        <w:spacing w:line="480" w:lineRule="auto"/>
        <w:ind w:left="0" w:leftChars="0" w:firstLine="560" w:firstLineChars="200"/>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启动锅炉烟囱在线监测设备一套（北京雪迪龙）；</w:t>
      </w:r>
    </w:p>
    <w:p>
      <w:pPr>
        <w:widowControl/>
        <w:numPr>
          <w:ilvl w:val="0"/>
          <w:numId w:val="2"/>
        </w:numPr>
        <w:spacing w:line="480" w:lineRule="auto"/>
        <w:ind w:left="0" w:leftChars="0" w:firstLine="560" w:firstLineChars="200"/>
        <w:jc w:val="left"/>
        <w:rPr>
          <w:rFonts w:hint="eastAsia" w:ascii="宋体" w:hAnsi="宋体" w:eastAsia="宋体" w:cs="宋体"/>
          <w:sz w:val="28"/>
          <w:szCs w:val="28"/>
          <w:lang w:eastAsia="zh-CN"/>
        </w:rPr>
      </w:pPr>
      <w:r>
        <w:rPr>
          <w:rFonts w:hint="eastAsia" w:ascii="宋体" w:hAnsi="宋体" w:cs="宋体"/>
          <w:sz w:val="28"/>
          <w:szCs w:val="28"/>
          <w:lang w:val="en-US" w:eastAsia="zh-CN"/>
        </w:rPr>
        <w:t xml:space="preserve"> 视频</w:t>
      </w:r>
      <w:r>
        <w:rPr>
          <w:rFonts w:hint="eastAsia" w:ascii="宋体" w:hAnsi="宋体" w:cs="宋体"/>
          <w:sz w:val="28"/>
          <w:szCs w:val="28"/>
        </w:rPr>
        <w:t>监控一套（上传至环保网络）</w:t>
      </w:r>
      <w:r>
        <w:rPr>
          <w:rFonts w:hint="eastAsia" w:ascii="宋体" w:hAnsi="宋体" w:cs="宋体"/>
          <w:sz w:val="28"/>
          <w:szCs w:val="28"/>
          <w:lang w:eastAsia="zh-CN"/>
        </w:rPr>
        <w:t>；</w:t>
      </w:r>
    </w:p>
    <w:p>
      <w:pPr>
        <w:pStyle w:val="3"/>
        <w:numPr>
          <w:ilvl w:val="0"/>
          <w:numId w:val="1"/>
        </w:numPr>
        <w:spacing w:before="156" w:beforeLines="50" w:after="0" w:line="480" w:lineRule="auto"/>
        <w:rPr>
          <w:rFonts w:hint="eastAsia" w:ascii="宋体" w:hAnsi="宋体" w:eastAsia="宋体" w:cs="宋体"/>
        </w:rPr>
      </w:pPr>
      <w:bookmarkStart w:id="2" w:name="_Toc16855"/>
      <w:bookmarkStart w:id="3" w:name="_Toc4159"/>
      <w:r>
        <w:rPr>
          <w:rFonts w:hint="eastAsia" w:ascii="宋体" w:hAnsi="宋体" w:eastAsia="宋体" w:cs="宋体"/>
        </w:rPr>
        <w:t>维护依据</w:t>
      </w:r>
      <w:bookmarkEnd w:id="2"/>
      <w:bookmarkEnd w:id="3"/>
    </w:p>
    <w:p>
      <w:pPr>
        <w:numPr>
          <w:ilvl w:val="0"/>
          <w:numId w:val="3"/>
        </w:numPr>
        <w:spacing w:line="500" w:lineRule="exact"/>
        <w:ind w:left="0" w:leftChars="0" w:firstLine="560" w:firstLineChars="200"/>
        <w:rPr>
          <w:rFonts w:hint="eastAsia" w:ascii="宋体" w:hAnsi="宋体" w:eastAsia="宋体" w:cs="宋体"/>
          <w:sz w:val="28"/>
          <w:szCs w:val="28"/>
        </w:rPr>
      </w:pPr>
      <w:bookmarkStart w:id="4" w:name="_Toc32708"/>
      <w:r>
        <w:rPr>
          <w:rFonts w:hint="eastAsia" w:ascii="宋体" w:hAnsi="宋体" w:eastAsia="宋体" w:cs="宋体"/>
          <w:sz w:val="28"/>
          <w:szCs w:val="28"/>
        </w:rPr>
        <w:t>《污染源自动监控管理办法》（国家环境保护总局令第28号）</w:t>
      </w:r>
    </w:p>
    <w:p>
      <w:pPr>
        <w:numPr>
          <w:ilvl w:val="0"/>
          <w:numId w:val="3"/>
        </w:numPr>
        <w:spacing w:line="5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《污染源自动监控设施运行管理办法》（环办〔2008〕6号）</w:t>
      </w:r>
    </w:p>
    <w:p>
      <w:pPr>
        <w:numPr>
          <w:ilvl w:val="0"/>
          <w:numId w:val="3"/>
        </w:numPr>
        <w:spacing w:line="5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参照</w:t>
      </w:r>
      <w:r>
        <w:rPr>
          <w:rFonts w:hint="eastAsia" w:ascii="宋体" w:hAnsi="宋体" w:cs="宋体"/>
          <w:sz w:val="28"/>
          <w:szCs w:val="28"/>
        </w:rPr>
        <w:t>《固定污染源烟气(S</w:t>
      </w:r>
      <w:r>
        <w:rPr>
          <w:rFonts w:ascii="宋体" w:hAnsi="宋体" w:cs="宋体"/>
          <w:sz w:val="28"/>
          <w:szCs w:val="28"/>
        </w:rPr>
        <w:t>O2</w:t>
      </w:r>
      <w:r>
        <w:rPr>
          <w:rFonts w:hint="eastAsia" w:ascii="宋体" w:hAnsi="宋体" w:cs="宋体"/>
          <w:sz w:val="28"/>
          <w:szCs w:val="28"/>
        </w:rPr>
        <w:t>、N</w:t>
      </w:r>
      <w:r>
        <w:rPr>
          <w:rFonts w:ascii="宋体" w:hAnsi="宋体" w:cs="宋体"/>
          <w:sz w:val="28"/>
          <w:szCs w:val="28"/>
        </w:rPr>
        <w:t>OX</w:t>
      </w:r>
      <w:r>
        <w:rPr>
          <w:rFonts w:hint="eastAsia" w:ascii="宋体" w:hAnsi="宋体" w:cs="宋体"/>
          <w:sz w:val="28"/>
          <w:szCs w:val="28"/>
        </w:rPr>
        <w:t>、颗粒物)排放连续监测技术规范》（H</w:t>
      </w:r>
      <w:r>
        <w:rPr>
          <w:rFonts w:hint="eastAsia" w:ascii="宋体" w:hAnsi="宋体" w:eastAsia="宋体" w:cs="宋体"/>
          <w:sz w:val="28"/>
          <w:szCs w:val="28"/>
        </w:rPr>
        <w:t>J75-2017）</w:t>
      </w:r>
    </w:p>
    <w:p>
      <w:pPr>
        <w:numPr>
          <w:ilvl w:val="0"/>
          <w:numId w:val="3"/>
        </w:numPr>
        <w:spacing w:line="5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参照《固定污染源烟气(SO2、NOX、颗粒物)排放连续监测系统技术要求及检测方法》（HJ76-2017）</w:t>
      </w:r>
    </w:p>
    <w:p>
      <w:pPr>
        <w:numPr>
          <w:ilvl w:val="0"/>
          <w:numId w:val="3"/>
        </w:numPr>
        <w:spacing w:line="5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参照《固定污染源排气中颗粒物测定与气态污染物采样方法》（GBT16157-1996）</w:t>
      </w:r>
    </w:p>
    <w:p>
      <w:pPr>
        <w:numPr>
          <w:ilvl w:val="0"/>
          <w:numId w:val="3"/>
        </w:numPr>
        <w:spacing w:line="5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污染物在线自动监控（监测）系统数据传输标准</w:t>
      </w:r>
      <w:r>
        <w:rPr>
          <w:rFonts w:hint="eastAsia" w:ascii="宋体" w:hAnsi="宋体" w:cs="宋体"/>
          <w:sz w:val="28"/>
          <w:szCs w:val="28"/>
          <w:lang w:eastAsia="zh-CN"/>
        </w:rPr>
        <w:t>（</w:t>
      </w:r>
      <w:r>
        <w:rPr>
          <w:rFonts w:hint="eastAsia" w:ascii="宋体" w:hAnsi="宋体" w:eastAsia="宋体" w:cs="宋体"/>
          <w:sz w:val="28"/>
          <w:szCs w:val="28"/>
        </w:rPr>
        <w:t>HJ212-2017</w:t>
      </w:r>
      <w:r>
        <w:rPr>
          <w:rFonts w:hint="eastAsia" w:ascii="宋体" w:hAnsi="宋体" w:cs="宋体"/>
          <w:sz w:val="28"/>
          <w:szCs w:val="28"/>
          <w:lang w:eastAsia="zh-CN"/>
        </w:rPr>
        <w:t>）</w:t>
      </w:r>
    </w:p>
    <w:p>
      <w:pPr>
        <w:numPr>
          <w:ilvl w:val="0"/>
          <w:numId w:val="3"/>
        </w:numPr>
        <w:spacing w:line="5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污染源在线自动监控（监测）数据采集传输仪技术要求</w:t>
      </w:r>
      <w:r>
        <w:rPr>
          <w:rFonts w:hint="eastAsia" w:ascii="宋体" w:hAnsi="宋体" w:cs="宋体"/>
          <w:sz w:val="28"/>
          <w:szCs w:val="28"/>
          <w:lang w:eastAsia="zh-CN"/>
        </w:rPr>
        <w:t>（</w:t>
      </w:r>
      <w:r>
        <w:rPr>
          <w:rFonts w:hint="eastAsia" w:ascii="宋体" w:hAnsi="宋体" w:eastAsia="宋体" w:cs="宋体"/>
          <w:sz w:val="28"/>
          <w:szCs w:val="28"/>
        </w:rPr>
        <w:t>HJ 477－2009</w:t>
      </w:r>
      <w:r>
        <w:rPr>
          <w:rFonts w:hint="eastAsia" w:ascii="宋体" w:hAnsi="宋体" w:cs="宋体"/>
          <w:sz w:val="28"/>
          <w:szCs w:val="28"/>
          <w:lang w:eastAsia="zh-CN"/>
        </w:rPr>
        <w:t>）</w:t>
      </w:r>
    </w:p>
    <w:p>
      <w:pPr>
        <w:numPr>
          <w:ilvl w:val="0"/>
          <w:numId w:val="0"/>
        </w:numPr>
        <w:spacing w:line="500" w:lineRule="exact"/>
        <w:ind w:firstLine="840" w:firstLineChars="300"/>
        <w:rPr>
          <w:rFonts w:hint="eastAsia" w:ascii="宋体" w:hAnsi="宋体" w:eastAsia="宋体" w:cs="宋体"/>
          <w:sz w:val="28"/>
          <w:szCs w:val="28"/>
        </w:rPr>
      </w:pPr>
      <w:r>
        <w:rPr>
          <w:rFonts w:hint="eastAsia" w:ascii="宋体" w:hAnsi="宋体" w:eastAsia="宋体" w:cs="宋体"/>
          <w:sz w:val="28"/>
          <w:szCs w:val="28"/>
        </w:rPr>
        <w:t xml:space="preserve">废气类仪器适用性检测合格名录  </w:t>
      </w:r>
    </w:p>
    <w:p>
      <w:pPr>
        <w:numPr>
          <w:ilvl w:val="0"/>
          <w:numId w:val="3"/>
        </w:numPr>
        <w:spacing w:line="5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 xml:space="preserve">《HJ/T 352-2007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HYPERLINK "http://www.zhb.gov.cn/info/gw/gg/200707/W020070716337487912200.pdf" \t "_self"</w:instrText>
      </w:r>
      <w:r>
        <w:rPr>
          <w:rFonts w:hint="eastAsia" w:ascii="宋体" w:hAnsi="宋体" w:eastAsia="宋体" w:cs="宋体"/>
          <w:sz w:val="28"/>
          <w:szCs w:val="28"/>
        </w:rPr>
        <w:fldChar w:fldCharType="separate"/>
      </w:r>
      <w:r>
        <w:rPr>
          <w:rFonts w:hint="eastAsia" w:ascii="宋体" w:hAnsi="宋体" w:eastAsia="宋体" w:cs="宋体"/>
          <w:sz w:val="28"/>
          <w:szCs w:val="28"/>
        </w:rPr>
        <w:t>环境污染源自动监控信息传输、交换技术规范（试行）</w:t>
      </w:r>
      <w:r>
        <w:rPr>
          <w:rFonts w:hint="eastAsia" w:ascii="宋体" w:hAnsi="宋体" w:eastAsia="宋体" w:cs="宋体"/>
          <w:sz w:val="28"/>
          <w:szCs w:val="28"/>
        </w:rPr>
        <w:fldChar w:fldCharType="end"/>
      </w:r>
      <w:r>
        <w:rPr>
          <w:rFonts w:hint="eastAsia" w:ascii="宋体" w:hAnsi="宋体" w:eastAsia="宋体" w:cs="宋体"/>
          <w:sz w:val="28"/>
          <w:szCs w:val="28"/>
        </w:rPr>
        <w:t>》</w:t>
      </w:r>
    </w:p>
    <w:p>
      <w:pPr>
        <w:numPr>
          <w:ilvl w:val="0"/>
          <w:numId w:val="3"/>
        </w:numPr>
        <w:spacing w:line="500" w:lineRule="exact"/>
        <w:ind w:left="0" w:leftChars="0" w:firstLine="560" w:firstLineChars="200"/>
        <w:rPr>
          <w:rFonts w:ascii="宋体" w:hAnsi="宋体" w:cs="宋体"/>
          <w:sz w:val="28"/>
          <w:szCs w:val="28"/>
        </w:rPr>
      </w:pPr>
      <w:r>
        <w:rPr>
          <w:rFonts w:hint="eastAsia" w:ascii="宋体" w:hAnsi="宋体" w:cs="宋体"/>
          <w:sz w:val="28"/>
          <w:szCs w:val="28"/>
          <w:lang w:eastAsia="zh-CN"/>
        </w:rPr>
        <w:t>《</w:t>
      </w:r>
      <w:r>
        <w:rPr>
          <w:rFonts w:hint="eastAsia" w:ascii="宋体" w:hAnsi="宋体" w:eastAsia="宋体" w:cs="宋体"/>
          <w:sz w:val="28"/>
          <w:szCs w:val="28"/>
        </w:rPr>
        <w:t>HJ/T</w:t>
      </w:r>
      <w:r>
        <w:rPr>
          <w:rFonts w:hint="eastAsia" w:ascii="宋体" w:hAnsi="宋体" w:cs="宋体"/>
          <w:sz w:val="28"/>
          <w:szCs w:val="28"/>
        </w:rPr>
        <w:t xml:space="preserve"> 461-2009</w:t>
      </w:r>
      <w:r>
        <w:rPr>
          <w:rFonts w:hint="eastAsia" w:ascii="宋体" w:hAnsi="宋体" w:cs="宋体"/>
          <w:sz w:val="28"/>
          <w:szCs w:val="28"/>
          <w:lang w:eastAsia="zh-CN"/>
        </w:rPr>
        <w:t>》</w:t>
      </w:r>
      <w:r>
        <w:rPr>
          <w:rFonts w:hint="eastAsia" w:ascii="宋体" w:hAnsi="宋体" w:cs="宋体"/>
          <w:sz w:val="28"/>
          <w:szCs w:val="28"/>
        </w:rPr>
        <w:t>环境信息网络管理维护规范</w:t>
      </w:r>
    </w:p>
    <w:p>
      <w:pPr>
        <w:pStyle w:val="3"/>
        <w:numPr>
          <w:ilvl w:val="0"/>
          <w:numId w:val="1"/>
        </w:numPr>
        <w:spacing w:before="156" w:beforeLines="50" w:after="0" w:line="480" w:lineRule="auto"/>
        <w:rPr>
          <w:rFonts w:hint="eastAsia" w:ascii="宋体" w:hAnsi="宋体" w:eastAsia="宋体" w:cs="宋体"/>
        </w:rPr>
      </w:pPr>
      <w:bookmarkStart w:id="5" w:name="_Toc14534"/>
      <w:r>
        <w:rPr>
          <w:rFonts w:hint="eastAsia" w:ascii="宋体" w:hAnsi="宋体" w:eastAsia="宋体" w:cs="宋体"/>
          <w:lang w:val="en-US" w:eastAsia="zh-CN"/>
        </w:rPr>
        <w:t>投标方</w:t>
      </w:r>
      <w:r>
        <w:rPr>
          <w:rFonts w:hint="eastAsia" w:ascii="宋体" w:hAnsi="宋体" w:eastAsia="宋体" w:cs="宋体"/>
        </w:rPr>
        <w:t>服务承诺</w:t>
      </w:r>
      <w:bookmarkEnd w:id="4"/>
      <w:bookmarkEnd w:id="5"/>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按</w:t>
      </w:r>
      <w:r>
        <w:rPr>
          <w:rFonts w:hint="eastAsia" w:ascii="宋体" w:hAnsi="宋体" w:cs="宋体"/>
          <w:sz w:val="28"/>
          <w:szCs w:val="28"/>
          <w:lang w:val="en-US" w:eastAsia="zh-CN"/>
        </w:rPr>
        <w:t>相</w:t>
      </w:r>
      <w:r>
        <w:rPr>
          <w:rFonts w:hint="eastAsia" w:ascii="宋体" w:hAnsi="宋体" w:cs="宋体"/>
          <w:sz w:val="28"/>
          <w:szCs w:val="28"/>
        </w:rPr>
        <w:t>关</w:t>
      </w:r>
      <w:r>
        <w:rPr>
          <w:rFonts w:hint="eastAsia" w:ascii="宋体" w:hAnsi="宋体" w:cs="宋体"/>
          <w:sz w:val="28"/>
          <w:szCs w:val="28"/>
          <w:lang w:val="en-US" w:eastAsia="zh-CN"/>
        </w:rPr>
        <w:t>技术、</w:t>
      </w:r>
      <w:r>
        <w:rPr>
          <w:rFonts w:hint="eastAsia" w:ascii="宋体" w:hAnsi="宋体" w:cs="宋体"/>
          <w:sz w:val="28"/>
          <w:szCs w:val="28"/>
        </w:rPr>
        <w:t>规范要求负责设备稳定运行，确保数据真实、可靠，做好各种技术资料的整理和记录工作，</w:t>
      </w:r>
      <w:r>
        <w:rPr>
          <w:rFonts w:hint="eastAsia" w:ascii="宋体" w:hAnsi="宋体" w:cs="宋体"/>
          <w:sz w:val="28"/>
          <w:szCs w:val="28"/>
          <w:lang w:val="en-US" w:eastAsia="zh-CN"/>
        </w:rPr>
        <w:t>保证</w:t>
      </w:r>
      <w:r>
        <w:rPr>
          <w:rFonts w:hint="eastAsia" w:ascii="宋体" w:hAnsi="宋体" w:cs="宋体"/>
          <w:sz w:val="28"/>
          <w:szCs w:val="28"/>
        </w:rPr>
        <w:t>仪器稳定运行及数据的可追溯性。</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因环保监测仪表故障导致环保数据异常时，按规定报</w:t>
      </w:r>
      <w:r>
        <w:rPr>
          <w:rFonts w:hint="eastAsia" w:ascii="宋体" w:hAnsi="宋体" w:cs="宋体"/>
          <w:sz w:val="28"/>
          <w:szCs w:val="28"/>
          <w:lang w:eastAsia="zh-CN"/>
        </w:rPr>
        <w:t>招标方</w:t>
      </w:r>
      <w:r>
        <w:rPr>
          <w:rFonts w:hint="eastAsia" w:ascii="宋体" w:hAnsi="宋体" w:cs="宋体"/>
          <w:sz w:val="28"/>
          <w:szCs w:val="28"/>
        </w:rPr>
        <w:t>相关部门，同时配合</w:t>
      </w:r>
      <w:r>
        <w:rPr>
          <w:rFonts w:hint="eastAsia" w:ascii="宋体" w:hAnsi="宋体" w:cs="宋体"/>
          <w:sz w:val="28"/>
          <w:szCs w:val="28"/>
          <w:lang w:eastAsia="zh-CN"/>
        </w:rPr>
        <w:t>招标方</w:t>
      </w:r>
      <w:r>
        <w:rPr>
          <w:rFonts w:hint="eastAsia" w:ascii="宋体" w:hAnsi="宋体" w:cs="宋体"/>
          <w:sz w:val="28"/>
          <w:szCs w:val="28"/>
        </w:rPr>
        <w:t>向上级环保管理部门报告情况。</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每天对自动监控设施数据传输情况进行查询，发现问题双方及时协调处理，无法协调处理的</w:t>
      </w:r>
      <w:r>
        <w:rPr>
          <w:rFonts w:hint="eastAsia" w:ascii="宋体" w:hAnsi="宋体" w:cs="宋体"/>
          <w:color w:val="auto"/>
          <w:sz w:val="28"/>
          <w:szCs w:val="28"/>
          <w:lang w:val="en-US" w:eastAsia="zh-CN"/>
        </w:rPr>
        <w:t>8</w:t>
      </w:r>
      <w:r>
        <w:rPr>
          <w:rFonts w:hint="eastAsia" w:ascii="宋体" w:hAnsi="宋体" w:cs="宋体"/>
          <w:sz w:val="28"/>
          <w:szCs w:val="28"/>
        </w:rPr>
        <w:t>小时之内到场处理。</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每个季度协调有认证的检测单位到现场比对，并出具报告。</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不发生异常及未遂；不发生一般及以上机械和设备损坏事故；不发生一般及以上生产人身伤亡事故；不发生一般及以上火灾事故。</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参与设备技术监督与技术改造工作。</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随时保持所负责维护设备的整洁与卫生,维护现场每个维护作业点做到“工完料净、场地清"，配合</w:t>
      </w:r>
      <w:r>
        <w:rPr>
          <w:rFonts w:hint="eastAsia" w:ascii="宋体" w:hAnsi="宋体" w:cs="宋体"/>
          <w:sz w:val="28"/>
          <w:szCs w:val="28"/>
          <w:lang w:eastAsia="zh-CN"/>
        </w:rPr>
        <w:t>招标方</w:t>
      </w:r>
      <w:r>
        <w:rPr>
          <w:rFonts w:hint="eastAsia" w:ascii="宋体" w:hAnsi="宋体" w:cs="宋体"/>
          <w:sz w:val="28"/>
          <w:szCs w:val="28"/>
        </w:rPr>
        <w:t>做好运维管理工作。</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制定并填写维护检修设备记录、设备在线校验记录，做到记录清楚完备。</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每月向发包单位报告合同范围内的维保设备的运行情况。</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对于环保数据比对、突发环保事件及环保监察单位的疑问，承包单位负责积极配合及沟通解释工作</w:t>
      </w:r>
    </w:p>
    <w:p>
      <w:pPr>
        <w:widowControl/>
        <w:numPr>
          <w:ilvl w:val="0"/>
          <w:numId w:val="4"/>
        </w:num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未尽事宜由双方协商解决。</w:t>
      </w:r>
    </w:p>
    <w:p>
      <w:pPr>
        <w:widowControl/>
        <w:numPr>
          <w:ilvl w:val="0"/>
          <w:numId w:val="0"/>
        </w:numPr>
        <w:spacing w:line="480" w:lineRule="auto"/>
        <w:ind w:leftChars="200"/>
        <w:jc w:val="left"/>
        <w:rPr>
          <w:rFonts w:hint="eastAsia" w:ascii="宋体" w:hAnsi="宋体" w:cs="宋体"/>
          <w:sz w:val="28"/>
          <w:szCs w:val="28"/>
        </w:rPr>
      </w:pPr>
    </w:p>
    <w:p>
      <w:pPr>
        <w:pStyle w:val="3"/>
        <w:numPr>
          <w:ilvl w:val="0"/>
          <w:numId w:val="1"/>
        </w:numPr>
        <w:spacing w:before="156" w:beforeLines="50" w:after="0" w:line="480" w:lineRule="auto"/>
        <w:rPr>
          <w:rFonts w:hint="eastAsia" w:ascii="宋体" w:hAnsi="宋体" w:eastAsia="宋体" w:cs="宋体"/>
        </w:rPr>
      </w:pPr>
      <w:bookmarkStart w:id="6" w:name="_Toc30395"/>
      <w:r>
        <w:rPr>
          <w:rFonts w:hint="eastAsia" w:ascii="宋体" w:hAnsi="宋体" w:eastAsia="宋体" w:cs="宋体"/>
          <w:lang w:val="en-US" w:eastAsia="zh-CN"/>
        </w:rPr>
        <w:t>投标方资质和</w:t>
      </w:r>
      <w:r>
        <w:rPr>
          <w:rFonts w:hint="eastAsia" w:ascii="宋体" w:hAnsi="宋体" w:eastAsia="宋体" w:cs="宋体"/>
        </w:rPr>
        <w:t>人员</w:t>
      </w:r>
      <w:r>
        <w:rPr>
          <w:rFonts w:hint="eastAsia" w:ascii="宋体" w:hAnsi="宋体" w:eastAsia="宋体" w:cs="宋体"/>
          <w:lang w:val="en-US" w:eastAsia="zh-CN"/>
        </w:rPr>
        <w:t>要求</w:t>
      </w:r>
      <w:bookmarkEnd w:id="6"/>
    </w:p>
    <w:p>
      <w:pPr>
        <w:numPr>
          <w:ilvl w:val="0"/>
          <w:numId w:val="5"/>
        </w:numPr>
        <w:spacing w:line="480" w:lineRule="auto"/>
        <w:ind w:left="0" w:firstLine="562" w:firstLineChars="200"/>
        <w:jc w:val="left"/>
        <w:outlineLvl w:val="2"/>
        <w:rPr>
          <w:rFonts w:hint="eastAsia" w:ascii="宋体" w:hAnsi="宋体" w:cs="宋体"/>
          <w:b/>
          <w:bCs/>
          <w:sz w:val="28"/>
          <w:szCs w:val="28"/>
        </w:rPr>
      </w:pPr>
      <w:bookmarkStart w:id="7" w:name="_Toc13907_WPSOffice_Level1"/>
      <w:bookmarkStart w:id="8" w:name="_Toc6516"/>
      <w:bookmarkStart w:id="9" w:name="_Toc8068_WPSOffice_Level1"/>
      <w:r>
        <w:rPr>
          <w:rFonts w:hint="eastAsia" w:ascii="宋体" w:hAnsi="宋体" w:cs="宋体"/>
          <w:b/>
          <w:bCs/>
          <w:sz w:val="28"/>
          <w:szCs w:val="28"/>
        </w:rPr>
        <w:t>维护人员</w:t>
      </w:r>
      <w:bookmarkEnd w:id="7"/>
      <w:bookmarkEnd w:id="8"/>
      <w:bookmarkEnd w:id="9"/>
    </w:p>
    <w:p>
      <w:pPr>
        <w:spacing w:line="480" w:lineRule="auto"/>
        <w:ind w:firstLine="560" w:firstLineChars="200"/>
        <w:rPr>
          <w:rFonts w:hint="eastAsia" w:ascii="宋体" w:hAnsi="宋体" w:cs="宋体"/>
          <w:sz w:val="28"/>
          <w:szCs w:val="28"/>
        </w:rPr>
      </w:pPr>
      <w:r>
        <w:rPr>
          <w:rFonts w:hint="eastAsia" w:ascii="宋体" w:hAnsi="宋体" w:cs="宋体"/>
          <w:color w:val="auto"/>
          <w:sz w:val="28"/>
          <w:szCs w:val="28"/>
        </w:rPr>
        <w:t>至少有</w:t>
      </w:r>
      <w:r>
        <w:rPr>
          <w:rFonts w:hint="eastAsia" w:ascii="宋体" w:hAnsi="宋体" w:cs="宋体"/>
          <w:color w:val="auto"/>
          <w:sz w:val="28"/>
          <w:szCs w:val="28"/>
          <w:lang w:val="en-US" w:eastAsia="zh-CN"/>
        </w:rPr>
        <w:t>3</w:t>
      </w:r>
      <w:r>
        <w:rPr>
          <w:rFonts w:hint="eastAsia" w:ascii="宋体" w:hAnsi="宋体" w:cs="宋体"/>
          <w:color w:val="auto"/>
          <w:sz w:val="28"/>
          <w:szCs w:val="28"/>
        </w:rPr>
        <w:t>名持有《环境污染治理设施运营培训合格证》的维护人员，每7天至少</w:t>
      </w:r>
      <w:r>
        <w:rPr>
          <w:rFonts w:hint="eastAsia" w:ascii="宋体" w:hAnsi="宋体" w:cs="宋体"/>
          <w:color w:val="auto"/>
          <w:sz w:val="28"/>
          <w:szCs w:val="28"/>
          <w:lang w:val="en-US" w:eastAsia="zh-CN"/>
        </w:rPr>
        <w:t>1</w:t>
      </w:r>
      <w:r>
        <w:rPr>
          <w:rFonts w:hint="eastAsia" w:ascii="宋体" w:hAnsi="宋体" w:cs="宋体"/>
          <w:color w:val="auto"/>
          <w:sz w:val="28"/>
          <w:szCs w:val="28"/>
        </w:rPr>
        <w:t>次现场维护。配置</w:t>
      </w:r>
      <w:r>
        <w:rPr>
          <w:rFonts w:hint="eastAsia" w:ascii="宋体" w:hAnsi="宋体" w:cs="宋体"/>
          <w:color w:val="auto"/>
          <w:sz w:val="28"/>
          <w:szCs w:val="28"/>
          <w:lang w:val="en-US" w:eastAsia="zh-CN"/>
        </w:rPr>
        <w:t>3</w:t>
      </w:r>
      <w:r>
        <w:rPr>
          <w:rFonts w:hint="eastAsia" w:ascii="宋体" w:hAnsi="宋体" w:cs="宋体"/>
          <w:color w:val="auto"/>
          <w:sz w:val="28"/>
          <w:szCs w:val="28"/>
        </w:rPr>
        <w:t>名工作人员，其中管理人员1名，技术人员2</w:t>
      </w:r>
      <w:r>
        <w:rPr>
          <w:rFonts w:hint="eastAsia" w:ascii="宋体" w:hAnsi="宋体" w:cs="宋体"/>
          <w:sz w:val="28"/>
          <w:szCs w:val="28"/>
        </w:rPr>
        <w:t>名，均持有中国环境保护产业协会颁发的《环境污染治理设施运营培训合格证》。日常维护由固定人员处理，周末轮流值班，在线出现故障做到及时响应，</w:t>
      </w:r>
      <w:r>
        <w:rPr>
          <w:rFonts w:hint="eastAsia" w:ascii="宋体" w:hAnsi="宋体" w:cs="宋体"/>
          <w:color w:val="auto"/>
          <w:sz w:val="28"/>
          <w:szCs w:val="28"/>
          <w:lang w:val="en-US" w:eastAsia="zh-CN"/>
        </w:rPr>
        <w:t>8</w:t>
      </w:r>
      <w:r>
        <w:rPr>
          <w:rFonts w:hint="eastAsia" w:ascii="宋体" w:hAnsi="宋体" w:cs="宋体"/>
          <w:sz w:val="28"/>
          <w:szCs w:val="28"/>
        </w:rPr>
        <w:t>小时之内到现场处理。但因工作原因或特殊情况人员可能会有变动。</w:t>
      </w:r>
    </w:p>
    <w:p>
      <w:pPr>
        <w:numPr>
          <w:ilvl w:val="0"/>
          <w:numId w:val="5"/>
        </w:numPr>
        <w:spacing w:line="480" w:lineRule="auto"/>
        <w:ind w:left="0" w:firstLine="482" w:firstLineChars="200"/>
        <w:jc w:val="left"/>
        <w:outlineLvl w:val="2"/>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lang w:val="en-US" w:eastAsia="zh-CN"/>
        </w:rPr>
        <w:t xml:space="preserve"> </w:t>
      </w:r>
      <w:r>
        <w:rPr>
          <w:rFonts w:hint="eastAsia" w:ascii="宋体" w:hAnsi="宋体" w:cs="宋体"/>
          <w:b/>
          <w:bCs/>
          <w:sz w:val="28"/>
          <w:szCs w:val="28"/>
          <w:lang w:val="en-US" w:eastAsia="zh-CN"/>
        </w:rPr>
        <w:t>资质要求</w:t>
      </w:r>
    </w:p>
    <w:p>
      <w:pPr>
        <w:numPr>
          <w:ilvl w:val="0"/>
          <w:numId w:val="0"/>
        </w:numPr>
        <w:spacing w:line="480" w:lineRule="auto"/>
        <w:ind w:leftChars="200" w:firstLine="560" w:firstLineChars="200"/>
        <w:jc w:val="left"/>
        <w:outlineLvl w:val="2"/>
        <w:rPr>
          <w:rFonts w:hint="eastAsia" w:ascii="宋体" w:hAnsi="宋体" w:eastAsia="宋体" w:cs="宋体"/>
          <w:sz w:val="28"/>
          <w:szCs w:val="28"/>
          <w:lang w:eastAsia="zh-CN"/>
        </w:rPr>
      </w:pPr>
      <w:r>
        <w:rPr>
          <w:rFonts w:hint="eastAsia"/>
          <w:color w:val="000000"/>
          <w:kern w:val="0"/>
          <w:sz w:val="28"/>
          <w:szCs w:val="28"/>
        </w:rPr>
        <w:t>承包单位必须在中华人民共和国注册并具有独立的企业法人资格,持有工商行政管理部门核发的法人营业执照；承包单位须至少具有</w:t>
      </w:r>
      <w:r>
        <w:rPr>
          <w:rFonts w:hint="eastAsia"/>
          <w:color w:val="000000"/>
          <w:kern w:val="0"/>
          <w:sz w:val="28"/>
          <w:szCs w:val="28"/>
          <w:lang w:val="en-US" w:eastAsia="zh-CN"/>
        </w:rPr>
        <w:t>同类型3</w:t>
      </w:r>
      <w:r>
        <w:rPr>
          <w:rFonts w:hint="eastAsia"/>
          <w:color w:val="000000"/>
          <w:kern w:val="0"/>
          <w:sz w:val="28"/>
          <w:szCs w:val="28"/>
        </w:rPr>
        <w:t>台</w:t>
      </w:r>
      <w:r>
        <w:rPr>
          <w:rFonts w:hint="eastAsia"/>
          <w:color w:val="000000"/>
          <w:kern w:val="0"/>
          <w:sz w:val="28"/>
          <w:szCs w:val="28"/>
          <w:lang w:val="en-US" w:eastAsia="zh-CN"/>
        </w:rPr>
        <w:t>及以上</w:t>
      </w:r>
      <w:r>
        <w:rPr>
          <w:rFonts w:hint="eastAsia"/>
          <w:color w:val="000000"/>
          <w:kern w:val="0"/>
          <w:sz w:val="28"/>
          <w:szCs w:val="28"/>
        </w:rPr>
        <w:t>火力发电厂烟气监测设备维保业绩和经验，须提供201</w:t>
      </w:r>
      <w:r>
        <w:rPr>
          <w:rFonts w:hint="eastAsia"/>
          <w:color w:val="000000"/>
          <w:kern w:val="0"/>
          <w:sz w:val="28"/>
          <w:szCs w:val="28"/>
          <w:lang w:val="en-US" w:eastAsia="zh-CN"/>
        </w:rPr>
        <w:t>7</w:t>
      </w:r>
      <w:r>
        <w:rPr>
          <w:rFonts w:hint="eastAsia"/>
          <w:color w:val="000000"/>
          <w:kern w:val="0"/>
          <w:sz w:val="28"/>
          <w:szCs w:val="28"/>
        </w:rPr>
        <w:t>年1月1日至今相关业绩证明（附合同复印件）；承包单位在专业技术、设备设施、人员组织和业绩经验等方面具有承担总承包项目的相应资格和能力，至少有三名维护人员持有有效期内的《环境污染治理设施运行人员技能培训证书》；承包单位未有国家、行业的不良记录</w:t>
      </w:r>
      <w:r>
        <w:rPr>
          <w:rFonts w:hint="eastAsia"/>
          <w:color w:val="000000"/>
          <w:kern w:val="0"/>
          <w:sz w:val="28"/>
          <w:szCs w:val="28"/>
          <w:lang w:eastAsia="zh-CN"/>
        </w:rPr>
        <w:t>。</w:t>
      </w:r>
    </w:p>
    <w:p>
      <w:pPr>
        <w:pStyle w:val="3"/>
        <w:numPr>
          <w:ilvl w:val="0"/>
          <w:numId w:val="1"/>
        </w:numPr>
        <w:spacing w:before="156" w:beforeLines="50" w:after="0" w:line="480" w:lineRule="auto"/>
        <w:rPr>
          <w:rFonts w:hint="eastAsia" w:ascii="宋体" w:hAnsi="宋体" w:eastAsia="宋体" w:cs="宋体"/>
        </w:rPr>
      </w:pPr>
      <w:bookmarkStart w:id="10" w:name="_Toc17964"/>
      <w:bookmarkStart w:id="11" w:name="_Toc28292_WPSOffice_Level1"/>
      <w:bookmarkStart w:id="12" w:name="_Toc21894_WPSOffice_Level1"/>
      <w:r>
        <w:rPr>
          <w:rFonts w:hint="eastAsia" w:ascii="宋体" w:hAnsi="宋体" w:eastAsia="宋体" w:cs="宋体"/>
          <w:lang w:val="en-US" w:eastAsia="zh-CN"/>
        </w:rPr>
        <w:t>投标方</w:t>
      </w:r>
      <w:r>
        <w:rPr>
          <w:rFonts w:hint="eastAsia" w:ascii="宋体" w:hAnsi="宋体" w:eastAsia="宋体" w:cs="宋体"/>
        </w:rPr>
        <w:t>维护人员岗位职责</w:t>
      </w:r>
      <w:bookmarkEnd w:id="10"/>
      <w:bookmarkEnd w:id="11"/>
      <w:bookmarkEnd w:id="12"/>
    </w:p>
    <w:p>
      <w:pPr>
        <w:numPr>
          <w:ilvl w:val="0"/>
          <w:numId w:val="6"/>
        </w:numPr>
        <w:spacing w:line="360" w:lineRule="auto"/>
        <w:ind w:firstLine="560" w:firstLineChars="200"/>
        <w:rPr>
          <w:rFonts w:hint="eastAsia" w:ascii="宋体" w:hAnsi="宋体" w:cs="宋体"/>
          <w:sz w:val="28"/>
          <w:szCs w:val="28"/>
        </w:rPr>
      </w:pPr>
      <w:r>
        <w:rPr>
          <w:rFonts w:hint="eastAsia" w:ascii="宋体" w:hAnsi="宋体" w:cs="宋体"/>
          <w:sz w:val="28"/>
          <w:szCs w:val="28"/>
        </w:rPr>
        <w:t>负责按照国家环保部、重庆市环保局的相关技术规范和</w:t>
      </w:r>
      <w:r>
        <w:rPr>
          <w:rFonts w:hint="eastAsia" w:ascii="宋体" w:hAnsi="宋体" w:cs="宋体"/>
          <w:sz w:val="28"/>
          <w:szCs w:val="28"/>
          <w:lang w:val="en-US" w:eastAsia="zh-CN"/>
        </w:rPr>
        <w:t>招标方</w:t>
      </w:r>
      <w:r>
        <w:rPr>
          <w:rFonts w:hint="eastAsia" w:ascii="宋体" w:hAnsi="宋体" w:cs="宋体"/>
          <w:sz w:val="28"/>
          <w:szCs w:val="28"/>
        </w:rPr>
        <w:t>规定，实施在线监测仪器的日常运营维护、维修等工作；</w:t>
      </w:r>
    </w:p>
    <w:p>
      <w:pPr>
        <w:numPr>
          <w:ilvl w:val="0"/>
          <w:numId w:val="6"/>
        </w:numPr>
        <w:spacing w:line="360" w:lineRule="auto"/>
        <w:ind w:firstLine="560" w:firstLineChars="200"/>
        <w:rPr>
          <w:rFonts w:hint="eastAsia" w:ascii="宋体" w:hAnsi="宋体" w:cs="宋体"/>
          <w:sz w:val="28"/>
          <w:szCs w:val="28"/>
        </w:rPr>
      </w:pPr>
      <w:r>
        <w:rPr>
          <w:rFonts w:hint="eastAsia" w:ascii="宋体" w:hAnsi="宋体" w:cs="宋体"/>
          <w:sz w:val="28"/>
          <w:szCs w:val="28"/>
        </w:rPr>
        <w:t>负责完成公司及</w:t>
      </w:r>
      <w:r>
        <w:rPr>
          <w:rFonts w:hint="eastAsia" w:ascii="宋体" w:hAnsi="宋体" w:cs="宋体"/>
          <w:sz w:val="28"/>
          <w:szCs w:val="28"/>
          <w:lang w:val="en-US" w:eastAsia="zh-CN"/>
        </w:rPr>
        <w:t>招标方</w:t>
      </w:r>
      <w:r>
        <w:rPr>
          <w:rFonts w:hint="eastAsia" w:ascii="宋体" w:hAnsi="宋体" w:cs="宋体"/>
          <w:sz w:val="28"/>
          <w:szCs w:val="28"/>
        </w:rPr>
        <w:t>安排的工作任务、做好每周工作小结；</w:t>
      </w:r>
    </w:p>
    <w:p>
      <w:pPr>
        <w:numPr>
          <w:ilvl w:val="0"/>
          <w:numId w:val="6"/>
        </w:numPr>
        <w:spacing w:line="360" w:lineRule="auto"/>
        <w:ind w:firstLine="560" w:firstLineChars="200"/>
        <w:rPr>
          <w:rFonts w:hint="eastAsia" w:ascii="宋体" w:hAnsi="宋体" w:cs="宋体"/>
          <w:sz w:val="28"/>
          <w:szCs w:val="28"/>
        </w:rPr>
      </w:pPr>
      <w:r>
        <w:rPr>
          <w:rFonts w:hint="eastAsia" w:ascii="宋体" w:hAnsi="宋体" w:cs="宋体"/>
          <w:sz w:val="28"/>
          <w:szCs w:val="28"/>
        </w:rPr>
        <w:t>按照公司规定将现场情况及时报告</w:t>
      </w:r>
      <w:r>
        <w:rPr>
          <w:rFonts w:hint="eastAsia" w:ascii="宋体" w:hAnsi="宋体" w:cs="宋体"/>
          <w:sz w:val="28"/>
          <w:szCs w:val="28"/>
          <w:lang w:val="en-US" w:eastAsia="zh-CN"/>
        </w:rPr>
        <w:t>招标方</w:t>
      </w:r>
      <w:r>
        <w:rPr>
          <w:rFonts w:hint="eastAsia" w:ascii="宋体" w:hAnsi="宋体" w:cs="宋体"/>
          <w:sz w:val="28"/>
          <w:szCs w:val="28"/>
        </w:rPr>
        <w:t>和公司领导；</w:t>
      </w:r>
    </w:p>
    <w:p>
      <w:pPr>
        <w:numPr>
          <w:ilvl w:val="0"/>
          <w:numId w:val="6"/>
        </w:numPr>
        <w:spacing w:line="360" w:lineRule="auto"/>
        <w:ind w:firstLine="560" w:firstLineChars="200"/>
        <w:rPr>
          <w:rFonts w:hint="eastAsia" w:ascii="宋体" w:hAnsi="宋体" w:cs="宋体"/>
          <w:sz w:val="28"/>
          <w:szCs w:val="28"/>
        </w:rPr>
      </w:pPr>
      <w:r>
        <w:rPr>
          <w:rFonts w:hint="eastAsia" w:ascii="宋体" w:hAnsi="宋体" w:cs="宋体"/>
          <w:sz w:val="28"/>
          <w:szCs w:val="28"/>
        </w:rPr>
        <w:t>负责填写仪器运行维护、维修记录、校正记录、校验记录、更换记录，并整理归档；</w:t>
      </w:r>
    </w:p>
    <w:p>
      <w:pPr>
        <w:numPr>
          <w:ilvl w:val="0"/>
          <w:numId w:val="6"/>
        </w:numPr>
        <w:spacing w:line="360" w:lineRule="auto"/>
        <w:ind w:firstLine="560" w:firstLineChars="200"/>
        <w:rPr>
          <w:rFonts w:hint="eastAsia" w:ascii="宋体" w:hAnsi="宋体" w:cs="宋体"/>
          <w:sz w:val="28"/>
          <w:szCs w:val="28"/>
        </w:rPr>
      </w:pPr>
      <w:r>
        <w:rPr>
          <w:rFonts w:hint="eastAsia" w:ascii="宋体" w:hAnsi="宋体" w:cs="宋体"/>
          <w:sz w:val="28"/>
          <w:szCs w:val="28"/>
        </w:rPr>
        <w:t>负责站房和仪器的保洁工作。</w:t>
      </w:r>
    </w:p>
    <w:p>
      <w:pPr>
        <w:numPr>
          <w:ilvl w:val="0"/>
          <w:numId w:val="6"/>
        </w:numPr>
        <w:spacing w:line="360" w:lineRule="auto"/>
        <w:ind w:firstLine="560" w:firstLineChars="200"/>
        <w:rPr>
          <w:rFonts w:hint="eastAsia" w:ascii="宋体" w:hAnsi="宋体" w:cs="宋体"/>
          <w:sz w:val="28"/>
          <w:szCs w:val="28"/>
        </w:rPr>
      </w:pPr>
      <w:r>
        <w:rPr>
          <w:rFonts w:hint="eastAsia" w:ascii="宋体" w:hAnsi="宋体" w:cs="宋体"/>
          <w:sz w:val="28"/>
          <w:szCs w:val="28"/>
          <w:lang w:val="en-US" w:eastAsia="zh-CN"/>
        </w:rPr>
        <w:t>投标方</w:t>
      </w:r>
      <w:r>
        <w:rPr>
          <w:rFonts w:hint="eastAsia" w:ascii="宋体" w:hAnsi="宋体" w:cs="宋体"/>
          <w:sz w:val="28"/>
          <w:szCs w:val="28"/>
        </w:rPr>
        <w:t>有责任对</w:t>
      </w:r>
      <w:r>
        <w:rPr>
          <w:rFonts w:hint="eastAsia" w:ascii="宋体" w:hAnsi="宋体" w:cs="宋体"/>
          <w:sz w:val="28"/>
          <w:szCs w:val="28"/>
          <w:lang w:val="en-US" w:eastAsia="zh-CN"/>
        </w:rPr>
        <w:t>招标方</w:t>
      </w:r>
      <w:r>
        <w:rPr>
          <w:rFonts w:hint="eastAsia" w:ascii="宋体" w:hAnsi="宋体" w:cs="宋体"/>
          <w:sz w:val="28"/>
          <w:szCs w:val="28"/>
        </w:rPr>
        <w:t>企业的有关排污情况和</w:t>
      </w:r>
      <w:r>
        <w:rPr>
          <w:rFonts w:hint="eastAsia" w:ascii="宋体" w:hAnsi="宋体" w:cs="宋体"/>
          <w:sz w:val="28"/>
          <w:szCs w:val="28"/>
          <w:lang w:val="en-US" w:eastAsia="zh-CN"/>
        </w:rPr>
        <w:t>其它</w:t>
      </w:r>
      <w:r>
        <w:rPr>
          <w:rFonts w:hint="eastAsia" w:ascii="宋体" w:hAnsi="宋体" w:cs="宋体"/>
          <w:sz w:val="28"/>
          <w:szCs w:val="28"/>
        </w:rPr>
        <w:t>技术情况</w:t>
      </w:r>
      <w:r>
        <w:rPr>
          <w:rFonts w:hint="eastAsia" w:ascii="宋体" w:hAnsi="宋体" w:cs="宋体"/>
          <w:sz w:val="28"/>
          <w:szCs w:val="28"/>
          <w:lang w:val="en-US" w:eastAsia="zh-CN"/>
        </w:rPr>
        <w:t>进行</w:t>
      </w:r>
      <w:r>
        <w:rPr>
          <w:rFonts w:hint="eastAsia" w:ascii="宋体" w:hAnsi="宋体" w:cs="宋体"/>
          <w:sz w:val="28"/>
          <w:szCs w:val="28"/>
        </w:rPr>
        <w:t>保密。</w:t>
      </w:r>
    </w:p>
    <w:p>
      <w:pPr>
        <w:pStyle w:val="3"/>
        <w:numPr>
          <w:ilvl w:val="0"/>
          <w:numId w:val="1"/>
        </w:numPr>
        <w:spacing w:before="156" w:beforeLines="50" w:after="0" w:line="480" w:lineRule="auto"/>
        <w:rPr>
          <w:rFonts w:hint="eastAsia" w:ascii="宋体" w:hAnsi="宋体" w:eastAsia="宋体" w:cs="宋体"/>
          <w:sz w:val="32"/>
          <w:szCs w:val="32"/>
        </w:rPr>
      </w:pPr>
      <w:bookmarkStart w:id="13" w:name="_Toc27679"/>
      <w:bookmarkStart w:id="14" w:name="_Toc6761_WPSOffice_Level1"/>
      <w:bookmarkStart w:id="15" w:name="_Toc5241_WPSOffice_Level1"/>
      <w:r>
        <w:rPr>
          <w:rFonts w:hint="eastAsia" w:ascii="宋体" w:hAnsi="宋体" w:eastAsia="宋体" w:cs="宋体"/>
          <w:color w:val="auto"/>
          <w:sz w:val="32"/>
          <w:szCs w:val="32"/>
          <w:lang w:val="en-US" w:eastAsia="zh-CN"/>
        </w:rPr>
        <w:t>投标方</w:t>
      </w:r>
      <w:r>
        <w:rPr>
          <w:rFonts w:hint="eastAsia" w:ascii="宋体" w:hAnsi="宋体" w:eastAsia="宋体" w:cs="宋体"/>
          <w:sz w:val="32"/>
          <w:szCs w:val="32"/>
        </w:rPr>
        <w:t>材料储备、施工用机具配置</w:t>
      </w:r>
      <w:bookmarkEnd w:id="13"/>
      <w:bookmarkEnd w:id="14"/>
      <w:bookmarkEnd w:id="15"/>
    </w:p>
    <w:tbl>
      <w:tblPr>
        <w:tblStyle w:val="13"/>
        <w:tblW w:w="8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4740"/>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名称</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配置情况</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质量保证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便携式测量仪</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可测量SO</w:t>
            </w:r>
            <w:r>
              <w:rPr>
                <w:rFonts w:hint="eastAsia" w:ascii="宋体" w:hAnsi="宋体" w:cs="宋体"/>
                <w:sz w:val="28"/>
                <w:szCs w:val="28"/>
                <w:vertAlign w:val="subscript"/>
              </w:rPr>
              <w:t>2</w:t>
            </w:r>
            <w:r>
              <w:rPr>
                <w:rFonts w:hint="eastAsia" w:ascii="宋体" w:hAnsi="宋体" w:cs="宋体"/>
                <w:sz w:val="28"/>
                <w:szCs w:val="28"/>
              </w:rPr>
              <w:t>、NO</w:t>
            </w:r>
            <w:r>
              <w:rPr>
                <w:rFonts w:hint="eastAsia" w:ascii="宋体" w:hAnsi="宋体" w:cs="宋体"/>
                <w:sz w:val="28"/>
                <w:szCs w:val="28"/>
                <w:vertAlign w:val="subscript"/>
              </w:rPr>
              <w:t>X</w:t>
            </w:r>
            <w:r>
              <w:rPr>
                <w:rFonts w:hint="eastAsia" w:ascii="宋体" w:hAnsi="宋体" w:cs="宋体"/>
                <w:sz w:val="28"/>
                <w:szCs w:val="28"/>
              </w:rPr>
              <w:t>、O</w:t>
            </w:r>
            <w:r>
              <w:rPr>
                <w:rFonts w:hint="eastAsia" w:ascii="宋体" w:hAnsi="宋体" w:cs="宋体"/>
                <w:sz w:val="28"/>
                <w:szCs w:val="28"/>
                <w:vertAlign w:val="subscript"/>
              </w:rPr>
              <w:t>2</w:t>
            </w:r>
            <w:r>
              <w:rPr>
                <w:rFonts w:hint="eastAsia" w:ascii="宋体" w:hAnsi="宋体" w:cs="宋体"/>
                <w:sz w:val="28"/>
                <w:szCs w:val="28"/>
              </w:rPr>
              <w:t>、温压流、湿度、粉尘（于公司保存）</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定期校准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消耗性材料</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根据现场实际情况和数量配备，存于站房内</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出厂标准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标准气体</w:t>
            </w:r>
          </w:p>
        </w:tc>
        <w:tc>
          <w:tcPr>
            <w:tcW w:w="4740" w:type="dxa"/>
            <w:noWrap w:val="0"/>
            <w:vAlign w:val="top"/>
          </w:tcPr>
          <w:p>
            <w:pPr>
              <w:jc w:val="center"/>
              <w:rPr>
                <w:rFonts w:hint="eastAsia" w:ascii="宋体" w:hAnsi="宋体" w:eastAsia="宋体" w:cs="宋体"/>
                <w:color w:val="auto"/>
                <w:sz w:val="28"/>
                <w:szCs w:val="28"/>
                <w:lang w:eastAsia="zh-CN"/>
              </w:rPr>
            </w:pPr>
            <w:r>
              <w:rPr>
                <w:rFonts w:hint="eastAsia" w:ascii="宋体" w:hAnsi="宋体" w:cs="宋体"/>
                <w:color w:val="auto"/>
                <w:sz w:val="28"/>
                <w:szCs w:val="28"/>
              </w:rPr>
              <w:t>保证在有效期到期1月前配备</w:t>
            </w:r>
            <w:r>
              <w:rPr>
                <w:rFonts w:hint="eastAsia" w:ascii="宋体" w:hAnsi="宋体" w:cs="宋体"/>
                <w:color w:val="auto"/>
                <w:sz w:val="28"/>
                <w:szCs w:val="28"/>
                <w:lang w:val="en-US" w:eastAsia="zh-CN"/>
              </w:rPr>
              <w:t>SO2/NO/NO2/02等</w:t>
            </w:r>
            <w:r>
              <w:rPr>
                <w:rFonts w:hint="eastAsia" w:ascii="宋体" w:hAnsi="宋体" w:cs="宋体"/>
                <w:color w:val="auto"/>
                <w:sz w:val="28"/>
                <w:szCs w:val="28"/>
              </w:rPr>
              <w:t>新标气</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高、中、低浓度</w:t>
            </w:r>
            <w:r>
              <w:rPr>
                <w:rFonts w:hint="eastAsia" w:ascii="宋体" w:hAnsi="宋体" w:cs="宋体"/>
                <w:color w:val="auto"/>
                <w:sz w:val="28"/>
                <w:szCs w:val="28"/>
                <w:lang w:eastAsia="zh-CN"/>
              </w:rPr>
              <w:t>）</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按照国家要求配置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电磁阀</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根据现场实际情况和数量配备，存于运维人员车上</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气管连接头</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根据现场实际情况和数量配备，存于运维人员车上</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固态继电器</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根据现场实际情况和数量配备，存于运维人员车上</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气源连接管</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根据现场实际情况和数量配备，存于运维人员车上</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施工机具</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根据现场需要配置，针对该项目专用</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根据情况配置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noWrap w:val="0"/>
            <w:vAlign w:val="top"/>
          </w:tcPr>
          <w:p>
            <w:pPr>
              <w:jc w:val="center"/>
              <w:rPr>
                <w:rFonts w:hint="eastAsia" w:ascii="宋体" w:hAnsi="宋体" w:cs="宋体"/>
                <w:sz w:val="28"/>
                <w:szCs w:val="28"/>
              </w:rPr>
            </w:pPr>
            <w:r>
              <w:rPr>
                <w:rFonts w:hint="eastAsia" w:ascii="宋体" w:hAnsi="宋体" w:cs="宋体"/>
                <w:sz w:val="28"/>
                <w:szCs w:val="28"/>
              </w:rPr>
              <w:t>办公电脑</w:t>
            </w:r>
          </w:p>
        </w:tc>
        <w:tc>
          <w:tcPr>
            <w:tcW w:w="4740" w:type="dxa"/>
            <w:noWrap w:val="0"/>
            <w:vAlign w:val="top"/>
          </w:tcPr>
          <w:p>
            <w:pPr>
              <w:jc w:val="center"/>
              <w:rPr>
                <w:rFonts w:hint="eastAsia" w:ascii="宋体" w:hAnsi="宋体" w:cs="宋体"/>
                <w:sz w:val="28"/>
                <w:szCs w:val="28"/>
              </w:rPr>
            </w:pPr>
            <w:r>
              <w:rPr>
                <w:rFonts w:hint="eastAsia" w:ascii="宋体" w:hAnsi="宋体" w:cs="宋体"/>
                <w:sz w:val="28"/>
                <w:szCs w:val="28"/>
              </w:rPr>
              <w:t>1</w:t>
            </w:r>
          </w:p>
        </w:tc>
        <w:tc>
          <w:tcPr>
            <w:tcW w:w="2131" w:type="dxa"/>
            <w:noWrap w:val="0"/>
            <w:vAlign w:val="top"/>
          </w:tcPr>
          <w:p>
            <w:pPr>
              <w:jc w:val="center"/>
              <w:rPr>
                <w:rFonts w:hint="eastAsia" w:ascii="宋体" w:hAnsi="宋体" w:cs="宋体"/>
                <w:sz w:val="28"/>
                <w:szCs w:val="28"/>
              </w:rPr>
            </w:pPr>
            <w:r>
              <w:rPr>
                <w:rFonts w:hint="eastAsia" w:ascii="宋体" w:hAnsi="宋体" w:cs="宋体"/>
                <w:sz w:val="28"/>
                <w:szCs w:val="28"/>
              </w:rPr>
              <w:t>软件调试用</w:t>
            </w:r>
          </w:p>
        </w:tc>
      </w:tr>
    </w:tbl>
    <w:p>
      <w:pPr>
        <w:pStyle w:val="3"/>
        <w:numPr>
          <w:ilvl w:val="0"/>
          <w:numId w:val="1"/>
        </w:numPr>
        <w:spacing w:before="156" w:beforeLines="50" w:after="0" w:line="480" w:lineRule="auto"/>
        <w:rPr>
          <w:rFonts w:hint="eastAsia" w:ascii="宋体" w:hAnsi="宋体" w:eastAsia="宋体" w:cs="宋体"/>
        </w:rPr>
      </w:pPr>
      <w:bookmarkStart w:id="16" w:name="_Toc29487_WPSOffice_Level1"/>
      <w:bookmarkStart w:id="17" w:name="_Toc30911_WPSOffice_Level1"/>
      <w:bookmarkStart w:id="18" w:name="_Toc4291"/>
      <w:bookmarkStart w:id="19" w:name="_Toc27878"/>
      <w:r>
        <w:rPr>
          <w:rFonts w:hint="eastAsia" w:ascii="宋体" w:hAnsi="宋体" w:eastAsia="宋体" w:cs="宋体"/>
          <w:lang w:val="en-US" w:eastAsia="zh-CN"/>
        </w:rPr>
        <w:t>投标方</w:t>
      </w:r>
      <w:r>
        <w:rPr>
          <w:rFonts w:hint="eastAsia" w:ascii="宋体" w:hAnsi="宋体" w:eastAsia="宋体" w:cs="宋体"/>
        </w:rPr>
        <w:t>运行维护</w:t>
      </w:r>
      <w:bookmarkEnd w:id="16"/>
      <w:bookmarkEnd w:id="17"/>
      <w:bookmarkEnd w:id="18"/>
      <w:r>
        <w:rPr>
          <w:rFonts w:hint="eastAsia" w:ascii="宋体" w:hAnsi="宋体" w:eastAsia="宋体" w:cs="宋体"/>
          <w:lang w:val="en-US" w:eastAsia="zh-CN"/>
        </w:rPr>
        <w:t>要求</w:t>
      </w:r>
      <w:bookmarkEnd w:id="19"/>
    </w:p>
    <w:p>
      <w:pPr>
        <w:pStyle w:val="4"/>
        <w:tabs>
          <w:tab w:val="left" w:pos="8190"/>
        </w:tabs>
        <w:spacing w:line="480" w:lineRule="auto"/>
        <w:ind w:left="0"/>
        <w:rPr>
          <w:rFonts w:hint="eastAsia" w:cs="宋体"/>
          <w:sz w:val="28"/>
          <w:szCs w:val="28"/>
        </w:rPr>
      </w:pPr>
      <w:r>
        <w:rPr>
          <w:rFonts w:hint="eastAsia" w:cs="宋体"/>
          <w:sz w:val="28"/>
          <w:szCs w:val="28"/>
        </w:rPr>
        <w:t>按照国家规范、标准和</w:t>
      </w:r>
      <w:r>
        <w:rPr>
          <w:rFonts w:hint="eastAsia" w:cs="宋体"/>
          <w:sz w:val="28"/>
          <w:szCs w:val="28"/>
          <w:lang w:val="en-US" w:eastAsia="zh-CN"/>
        </w:rPr>
        <w:t>招标方</w:t>
      </w:r>
      <w:r>
        <w:rPr>
          <w:rFonts w:hint="eastAsia" w:cs="宋体"/>
          <w:sz w:val="28"/>
          <w:szCs w:val="28"/>
        </w:rPr>
        <w:t>定期工作标准开展维护工作。</w:t>
      </w:r>
    </w:p>
    <w:p>
      <w:pPr>
        <w:pStyle w:val="4"/>
        <w:numPr>
          <w:ilvl w:val="0"/>
          <w:numId w:val="7"/>
        </w:numPr>
        <w:tabs>
          <w:tab w:val="left" w:pos="8190"/>
        </w:tabs>
        <w:spacing w:line="480" w:lineRule="auto"/>
        <w:ind w:firstLine="562" w:firstLineChars="200"/>
        <w:outlineLvl w:val="2"/>
        <w:rPr>
          <w:rFonts w:hint="eastAsia" w:cs="宋体"/>
          <w:sz w:val="28"/>
          <w:szCs w:val="28"/>
        </w:rPr>
      </w:pPr>
      <w:bookmarkStart w:id="20" w:name="_Toc17018"/>
      <w:r>
        <w:rPr>
          <w:rFonts w:hint="eastAsia" w:cs="宋体"/>
          <w:b/>
          <w:bCs/>
          <w:sz w:val="28"/>
          <w:szCs w:val="28"/>
        </w:rPr>
        <w:t>定期维护：</w:t>
      </w:r>
      <w:r>
        <w:rPr>
          <w:rFonts w:hint="eastAsia" w:cs="宋体"/>
          <w:sz w:val="28"/>
          <w:szCs w:val="28"/>
        </w:rPr>
        <w:t>按照国家和行业规范以及</w:t>
      </w:r>
      <w:r>
        <w:rPr>
          <w:rFonts w:hint="eastAsia" w:cs="宋体"/>
          <w:sz w:val="28"/>
          <w:szCs w:val="28"/>
          <w:lang w:eastAsia="zh-CN"/>
        </w:rPr>
        <w:t>招标方</w:t>
      </w:r>
      <w:r>
        <w:rPr>
          <w:rFonts w:hint="eastAsia" w:cs="宋体"/>
          <w:sz w:val="28"/>
          <w:szCs w:val="28"/>
        </w:rPr>
        <w:t>要求制定周、月、季、年巡回检查和试验、保养计划，定期完成废气在线分析仪表的维保工作，加强重大节、假日（五一、十一、春节假期）前的检查。</w:t>
      </w:r>
      <w:bookmarkEnd w:id="20"/>
    </w:p>
    <w:p>
      <w:pPr>
        <w:pStyle w:val="4"/>
        <w:numPr>
          <w:ilvl w:val="0"/>
          <w:numId w:val="7"/>
        </w:numPr>
        <w:tabs>
          <w:tab w:val="left" w:pos="8190"/>
        </w:tabs>
        <w:spacing w:line="480" w:lineRule="auto"/>
        <w:ind w:firstLine="562" w:firstLineChars="200"/>
        <w:outlineLvl w:val="2"/>
        <w:rPr>
          <w:rFonts w:hint="eastAsia" w:cs="宋体"/>
          <w:sz w:val="28"/>
          <w:szCs w:val="28"/>
        </w:rPr>
      </w:pPr>
      <w:bookmarkStart w:id="21" w:name="_Toc16317"/>
      <w:r>
        <w:rPr>
          <w:rFonts w:hint="eastAsia" w:cs="宋体"/>
          <w:b/>
          <w:bCs/>
          <w:sz w:val="28"/>
          <w:szCs w:val="28"/>
        </w:rPr>
        <w:t>紧急维护：</w:t>
      </w:r>
      <w:r>
        <w:rPr>
          <w:rFonts w:hint="eastAsia" w:cs="宋体"/>
          <w:sz w:val="28"/>
          <w:szCs w:val="28"/>
        </w:rPr>
        <w:t>接到企业人员的通知后，双方远程沟通清楚情况，及时备齐物品，</w:t>
      </w:r>
      <w:r>
        <w:rPr>
          <w:rFonts w:hint="eastAsia" w:cs="宋体"/>
          <w:color w:val="auto"/>
          <w:sz w:val="28"/>
          <w:szCs w:val="28"/>
          <w:lang w:val="en-US" w:eastAsia="zh-CN"/>
        </w:rPr>
        <w:t>8</w:t>
      </w:r>
      <w:r>
        <w:rPr>
          <w:rFonts w:hint="eastAsia" w:cs="宋体"/>
          <w:sz w:val="28"/>
          <w:szCs w:val="28"/>
        </w:rPr>
        <w:t>小时内到现场维修处理。</w:t>
      </w:r>
      <w:bookmarkEnd w:id="21"/>
    </w:p>
    <w:p>
      <w:pPr>
        <w:numPr>
          <w:ilvl w:val="0"/>
          <w:numId w:val="7"/>
        </w:numPr>
        <w:spacing w:line="480" w:lineRule="auto"/>
        <w:ind w:firstLine="562" w:firstLineChars="200"/>
        <w:outlineLvl w:val="2"/>
        <w:rPr>
          <w:rFonts w:hint="eastAsia" w:ascii="宋体" w:hAnsi="宋体" w:cs="宋体"/>
          <w:b/>
          <w:bCs/>
          <w:sz w:val="28"/>
          <w:szCs w:val="28"/>
        </w:rPr>
      </w:pPr>
      <w:bookmarkStart w:id="22" w:name="_Toc32764"/>
      <w:r>
        <w:rPr>
          <w:rFonts w:hint="eastAsia" w:ascii="宋体" w:hAnsi="宋体" w:cs="宋体"/>
          <w:b/>
          <w:bCs/>
          <w:sz w:val="28"/>
          <w:szCs w:val="28"/>
        </w:rPr>
        <w:t>基本要求保障</w:t>
      </w:r>
      <w:bookmarkEnd w:id="22"/>
    </w:p>
    <w:p>
      <w:pPr>
        <w:spacing w:line="480" w:lineRule="auto"/>
        <w:ind w:firstLine="560" w:firstLineChars="200"/>
        <w:rPr>
          <w:rFonts w:hint="eastAsia" w:ascii="宋体" w:hAnsi="宋体" w:cs="宋体"/>
          <w:bCs/>
          <w:sz w:val="28"/>
          <w:szCs w:val="28"/>
        </w:rPr>
      </w:pPr>
      <w:r>
        <w:rPr>
          <w:rFonts w:hint="eastAsia" w:ascii="宋体" w:hAnsi="宋体" w:cs="宋体"/>
          <w:bCs/>
          <w:sz w:val="28"/>
          <w:szCs w:val="28"/>
        </w:rPr>
        <w:t>组建维护队伍，配置完善的施工和维修机具，</w:t>
      </w:r>
      <w:r>
        <w:rPr>
          <w:rFonts w:hint="eastAsia" w:ascii="宋体" w:hAnsi="宋体" w:cs="宋体"/>
          <w:bCs/>
          <w:sz w:val="28"/>
          <w:szCs w:val="28"/>
          <w:lang w:val="en-US" w:eastAsia="zh-CN"/>
        </w:rPr>
        <w:t>投标方</w:t>
      </w:r>
      <w:r>
        <w:rPr>
          <w:rFonts w:hint="eastAsia" w:ascii="宋体" w:hAnsi="宋体" w:cs="宋体"/>
          <w:bCs/>
          <w:sz w:val="28"/>
          <w:szCs w:val="28"/>
        </w:rPr>
        <w:t>项目管理人员、站点负责人、技术服务人员及公司安全员。</w:t>
      </w:r>
      <w:r>
        <w:rPr>
          <w:rFonts w:hint="eastAsia" w:ascii="宋体" w:hAnsi="宋体" w:cs="宋体"/>
          <w:bCs/>
          <w:sz w:val="28"/>
          <w:szCs w:val="28"/>
          <w:lang w:val="en-US" w:eastAsia="zh-CN"/>
        </w:rPr>
        <w:t>投标方</w:t>
      </w:r>
      <w:r>
        <w:rPr>
          <w:rFonts w:hint="eastAsia" w:ascii="宋体" w:hAnsi="宋体" w:cs="宋体"/>
          <w:bCs/>
          <w:sz w:val="28"/>
          <w:szCs w:val="28"/>
        </w:rPr>
        <w:t>保证所有管理人员和技术人员熟悉和掌握技术服务项目的内容、技术要求、质量要求，并有相关类似项目维护工作经验。</w:t>
      </w:r>
    </w:p>
    <w:p>
      <w:pPr>
        <w:numPr>
          <w:ilvl w:val="0"/>
          <w:numId w:val="7"/>
        </w:numPr>
        <w:spacing w:line="480" w:lineRule="auto"/>
        <w:ind w:firstLine="562" w:firstLineChars="200"/>
        <w:outlineLvl w:val="2"/>
        <w:rPr>
          <w:rFonts w:hint="eastAsia" w:ascii="宋体" w:hAnsi="宋体" w:cs="宋体"/>
          <w:b/>
          <w:bCs/>
          <w:sz w:val="28"/>
          <w:szCs w:val="28"/>
        </w:rPr>
      </w:pPr>
      <w:r>
        <w:rPr>
          <w:rFonts w:hint="eastAsia" w:ascii="宋体" w:hAnsi="宋体" w:cs="宋体"/>
          <w:b/>
          <w:bCs/>
          <w:sz w:val="28"/>
          <w:szCs w:val="28"/>
        </w:rPr>
        <w:t>设备材料配置</w:t>
      </w:r>
    </w:p>
    <w:p>
      <w:pPr>
        <w:pStyle w:val="7"/>
        <w:spacing w:line="360" w:lineRule="auto"/>
        <w:ind w:firstLine="560" w:firstLineChars="200"/>
        <w:rPr>
          <w:rFonts w:hint="eastAsia" w:hAnsi="宋体" w:cs="宋体"/>
          <w:bCs/>
          <w:sz w:val="28"/>
          <w:szCs w:val="28"/>
        </w:rPr>
      </w:pPr>
      <w:r>
        <w:rPr>
          <w:rFonts w:hint="eastAsia" w:hAnsi="宋体" w:cs="宋体"/>
          <w:bCs/>
          <w:sz w:val="28"/>
          <w:szCs w:val="28"/>
        </w:rPr>
        <w:t>项目开展中所需的电脑等办公用具</w:t>
      </w:r>
      <w:r>
        <w:rPr>
          <w:rFonts w:hint="eastAsia" w:hAnsi="宋体" w:cs="宋体"/>
          <w:bCs/>
          <w:sz w:val="28"/>
          <w:szCs w:val="28"/>
          <w:lang w:val="en-US" w:eastAsia="zh-CN"/>
        </w:rPr>
        <w:t>和设备备件（特指单件价值低于2000元的部件）</w:t>
      </w:r>
      <w:r>
        <w:rPr>
          <w:rFonts w:hint="eastAsia" w:hAnsi="宋体" w:cs="宋体"/>
          <w:bCs/>
          <w:sz w:val="28"/>
          <w:szCs w:val="28"/>
        </w:rPr>
        <w:t>由</w:t>
      </w:r>
      <w:r>
        <w:rPr>
          <w:rFonts w:hint="eastAsia" w:hAnsi="宋体" w:cs="宋体"/>
          <w:bCs/>
          <w:sz w:val="28"/>
          <w:szCs w:val="28"/>
          <w:lang w:val="en-US" w:eastAsia="zh-CN"/>
        </w:rPr>
        <w:t>投标方</w:t>
      </w:r>
      <w:r>
        <w:rPr>
          <w:rFonts w:hint="eastAsia" w:hAnsi="宋体" w:cs="宋体"/>
          <w:bCs/>
          <w:sz w:val="28"/>
          <w:szCs w:val="28"/>
        </w:rPr>
        <w:t>自备，工作开展过程中涉及需</w:t>
      </w:r>
      <w:r>
        <w:rPr>
          <w:rFonts w:hint="eastAsia" w:hAnsi="宋体" w:cs="宋体"/>
          <w:bCs/>
          <w:sz w:val="28"/>
          <w:szCs w:val="28"/>
          <w:lang w:eastAsia="zh-CN"/>
        </w:rPr>
        <w:t>招标方</w:t>
      </w:r>
      <w:r>
        <w:rPr>
          <w:rFonts w:hint="eastAsia" w:hAnsi="宋体" w:cs="宋体"/>
          <w:bCs/>
          <w:sz w:val="28"/>
          <w:szCs w:val="28"/>
        </w:rPr>
        <w:t>提供的设备备件</w:t>
      </w:r>
      <w:r>
        <w:rPr>
          <w:rFonts w:hint="eastAsia" w:hAnsi="宋体" w:cs="宋体"/>
          <w:bCs/>
          <w:sz w:val="28"/>
          <w:szCs w:val="28"/>
          <w:lang w:eastAsia="zh-CN"/>
        </w:rPr>
        <w:t>（</w:t>
      </w:r>
      <w:r>
        <w:rPr>
          <w:rFonts w:hint="eastAsia" w:hAnsi="宋体" w:cs="宋体"/>
          <w:bCs/>
          <w:sz w:val="28"/>
          <w:szCs w:val="28"/>
          <w:lang w:val="en-US" w:eastAsia="zh-CN"/>
        </w:rPr>
        <w:t>单件价值大于2000元以上物资</w:t>
      </w:r>
      <w:r>
        <w:rPr>
          <w:rFonts w:hint="eastAsia" w:hAnsi="宋体" w:cs="宋体"/>
          <w:bCs/>
          <w:sz w:val="28"/>
          <w:szCs w:val="28"/>
          <w:lang w:eastAsia="zh-CN"/>
        </w:rPr>
        <w:t>）</w:t>
      </w:r>
      <w:r>
        <w:rPr>
          <w:rFonts w:hint="eastAsia" w:hAnsi="宋体" w:cs="宋体"/>
          <w:bCs/>
          <w:sz w:val="28"/>
          <w:szCs w:val="28"/>
        </w:rPr>
        <w:t>，备品物资的提报由</w:t>
      </w:r>
      <w:r>
        <w:rPr>
          <w:rFonts w:hint="eastAsia" w:hAnsi="宋体" w:cs="宋体"/>
          <w:bCs/>
          <w:sz w:val="28"/>
          <w:szCs w:val="28"/>
          <w:lang w:val="en-US" w:eastAsia="zh-CN"/>
        </w:rPr>
        <w:t>投标方</w:t>
      </w:r>
      <w:r>
        <w:rPr>
          <w:rFonts w:hint="eastAsia" w:hAnsi="宋体" w:cs="宋体"/>
          <w:bCs/>
          <w:sz w:val="28"/>
          <w:szCs w:val="28"/>
        </w:rPr>
        <w:t>根据工作实际情况提报，由</w:t>
      </w:r>
      <w:r>
        <w:rPr>
          <w:rFonts w:hint="eastAsia" w:hAnsi="宋体" w:cs="宋体"/>
          <w:bCs/>
          <w:sz w:val="28"/>
          <w:szCs w:val="28"/>
          <w:lang w:eastAsia="zh-CN"/>
        </w:rPr>
        <w:t>招标方</w:t>
      </w:r>
      <w:r>
        <w:rPr>
          <w:rFonts w:hint="eastAsia" w:hAnsi="宋体" w:cs="宋体"/>
          <w:bCs/>
          <w:sz w:val="28"/>
          <w:szCs w:val="28"/>
        </w:rPr>
        <w:t>审核并负责采购。</w:t>
      </w:r>
    </w:p>
    <w:p>
      <w:pPr>
        <w:numPr>
          <w:ilvl w:val="0"/>
          <w:numId w:val="7"/>
        </w:numPr>
        <w:spacing w:line="360" w:lineRule="auto"/>
        <w:ind w:firstLine="562" w:firstLineChars="200"/>
        <w:outlineLvl w:val="2"/>
        <w:rPr>
          <w:rFonts w:hint="eastAsia" w:ascii="宋体" w:hAnsi="宋体" w:cs="宋体"/>
          <w:b/>
          <w:bCs/>
          <w:sz w:val="28"/>
          <w:szCs w:val="28"/>
        </w:rPr>
      </w:pPr>
      <w:bookmarkStart w:id="23" w:name="_Toc28212"/>
      <w:r>
        <w:rPr>
          <w:rFonts w:hint="eastAsia" w:ascii="宋体" w:hAnsi="宋体" w:cs="宋体"/>
          <w:b/>
          <w:bCs/>
          <w:sz w:val="28"/>
          <w:szCs w:val="28"/>
        </w:rPr>
        <w:t>经常性检查项目</w:t>
      </w:r>
      <w:bookmarkEnd w:id="23"/>
    </w:p>
    <w:p>
      <w:pPr>
        <w:spacing w:line="360" w:lineRule="auto"/>
        <w:ind w:firstLine="560" w:firstLineChars="200"/>
        <w:rPr>
          <w:rFonts w:hint="eastAsia" w:ascii="宋体" w:hAnsi="宋体" w:cs="宋体"/>
          <w:sz w:val="28"/>
          <w:szCs w:val="28"/>
        </w:rPr>
      </w:pPr>
      <w:r>
        <w:rPr>
          <w:rFonts w:hint="eastAsia" w:ascii="宋体" w:hAnsi="宋体" w:cs="宋体"/>
          <w:sz w:val="28"/>
          <w:szCs w:val="28"/>
        </w:rPr>
        <w:t>每天对自动监控平台进行查阅，远程查看CEMS在线监测运行情况，跟进在线设备运行情况。巡检时严格执行</w:t>
      </w:r>
      <w:r>
        <w:rPr>
          <w:rFonts w:hint="eastAsia" w:ascii="宋体" w:hAnsi="宋体" w:cs="宋体"/>
          <w:sz w:val="28"/>
          <w:szCs w:val="28"/>
          <w:lang w:eastAsia="zh-CN"/>
        </w:rPr>
        <w:t>招标方</w:t>
      </w:r>
      <w:r>
        <w:rPr>
          <w:rFonts w:hint="eastAsia" w:ascii="宋体" w:hAnsi="宋体" w:cs="宋体"/>
          <w:sz w:val="28"/>
          <w:szCs w:val="28"/>
        </w:rPr>
        <w:t>有关安全规定，穿戴劳保防护用品，随时警惕可能出现的有毒有害气体的伤害，检查高空设备及仪表必须系好安全带，严禁麻痹、松懈。巡检必须携带工具包、抹布、随时处理发现的问题，尽量将故障解决在萌芽状态，保持CEMS现场清洁、整齐。项目管理人员应加强对巡检工作的指导，定期检查值班员工的巡检记录，并对发现设备的问题拿出明确处理意见。</w:t>
      </w:r>
    </w:p>
    <w:p>
      <w:pPr>
        <w:spacing w:line="480" w:lineRule="auto"/>
        <w:outlineLvl w:val="2"/>
        <w:rPr>
          <w:rFonts w:hint="eastAsia" w:ascii="宋体" w:hAnsi="宋体" w:cs="宋体"/>
          <w:b/>
          <w:bCs/>
          <w:sz w:val="28"/>
          <w:szCs w:val="28"/>
        </w:rPr>
      </w:pPr>
      <w:bookmarkStart w:id="24" w:name="_Toc1953"/>
      <w:r>
        <w:rPr>
          <w:rFonts w:hint="eastAsia" w:ascii="宋体" w:hAnsi="宋体" w:cs="宋体"/>
          <w:b/>
          <w:bCs/>
          <w:sz w:val="28"/>
          <w:szCs w:val="28"/>
        </w:rPr>
        <w:t>6.定期检查项目（包括但不限于以下）</w:t>
      </w:r>
      <w:bookmarkEnd w:id="24"/>
    </w:p>
    <w:p>
      <w:pPr>
        <w:numPr>
          <w:ilvl w:val="0"/>
          <w:numId w:val="8"/>
        </w:numPr>
        <w:spacing w:line="360" w:lineRule="auto"/>
        <w:rPr>
          <w:rFonts w:hint="eastAsia" w:ascii="宋体" w:hAnsi="宋体" w:cs="宋体"/>
          <w:sz w:val="28"/>
          <w:szCs w:val="28"/>
        </w:rPr>
      </w:pPr>
      <w:r>
        <w:rPr>
          <w:rFonts w:hint="eastAsia" w:ascii="宋体" w:hAnsi="宋体" w:cs="宋体"/>
          <w:sz w:val="28"/>
          <w:szCs w:val="28"/>
        </w:rPr>
        <w:t>每7日至少进行一次系统检查，包括检查外接设备（气体过滤器、电子制冷器、气路转换器等）、气路、温湿度、数据存储/控制系统工作状态等，定期检查、定期更换系统所必需的易损设备，对压缩空气气源处理器内部积水和油污进行手动排放，保证系统正常运行；</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每月对整个系统（包括采样系统、分析 仪器系统、数据存储/控制系统）进行一次全面清扫维护。对数据存储/控制系统工作状态进行一次检查。检查每月监控仪器接地情况，检查自动监控用房防雷措施；</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每天检查数据情况，查看报表，对照历史数据，检查分析仪的工作稳定性；</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根据设备情况，每7天对分析仪器的零点和满点（量程）进行人工校准。</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定期检查标准气体使用情况，及时更换。</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流速测量系统每15天维护一次。</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压力测量系统每15天进行一次系统检查。</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温度测量系统每15天进行一次系统检查。</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湿度测量系统每15天进行一次系统检查。</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每季度进行一次在线监测设备比对。完成每季度一次的校验工作。</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每季度进行一次全流路示值误差测试，并完善相应的记录。</w:t>
      </w:r>
    </w:p>
    <w:p>
      <w:pPr>
        <w:numPr>
          <w:ilvl w:val="0"/>
          <w:numId w:val="8"/>
        </w:numPr>
        <w:spacing w:line="360" w:lineRule="auto"/>
        <w:rPr>
          <w:rFonts w:hint="eastAsia" w:ascii="宋体" w:hAnsi="宋体" w:cs="宋体"/>
          <w:sz w:val="28"/>
          <w:szCs w:val="28"/>
        </w:rPr>
      </w:pPr>
      <w:r>
        <w:rPr>
          <w:rFonts w:hint="eastAsia" w:ascii="宋体" w:hAnsi="宋体" w:cs="宋体"/>
          <w:sz w:val="28"/>
          <w:szCs w:val="28"/>
        </w:rPr>
        <w:t>针对故障情况及时发现及时协调处理，处理完成后如实记录故障情况，更换物品情况等，并书面报告企业。</w:t>
      </w:r>
    </w:p>
    <w:p>
      <w:pPr>
        <w:numPr>
          <w:ilvl w:val="0"/>
          <w:numId w:val="8"/>
        </w:numPr>
        <w:spacing w:line="360" w:lineRule="auto"/>
        <w:rPr>
          <w:rFonts w:hint="eastAsia" w:ascii="宋体" w:hAnsi="宋体" w:cs="宋体"/>
          <w:sz w:val="28"/>
          <w:szCs w:val="28"/>
        </w:rPr>
      </w:pPr>
      <w:r>
        <w:rPr>
          <w:rFonts w:hint="eastAsia" w:ascii="宋体" w:hAnsi="宋体" w:cs="宋体"/>
          <w:sz w:val="28"/>
          <w:szCs w:val="28"/>
          <w:lang w:val="en-US" w:eastAsia="zh-CN"/>
        </w:rPr>
        <w:t>每季度对数据进行备份并存档。</w:t>
      </w:r>
    </w:p>
    <w:p>
      <w:pPr>
        <w:spacing w:line="480" w:lineRule="auto"/>
        <w:outlineLvl w:val="2"/>
        <w:rPr>
          <w:rFonts w:hint="eastAsia" w:ascii="宋体" w:hAnsi="宋体" w:cs="宋体"/>
          <w:b/>
          <w:bCs/>
          <w:sz w:val="28"/>
          <w:szCs w:val="28"/>
        </w:rPr>
      </w:pPr>
      <w:bookmarkStart w:id="25" w:name="_Toc17033"/>
      <w:r>
        <w:rPr>
          <w:rFonts w:hint="eastAsia" w:ascii="宋体" w:hAnsi="宋体" w:cs="宋体"/>
          <w:b/>
          <w:bCs/>
          <w:sz w:val="28"/>
          <w:szCs w:val="28"/>
        </w:rPr>
        <w:t>7.维护保养</w:t>
      </w:r>
      <w:bookmarkEnd w:id="25"/>
    </w:p>
    <w:p>
      <w:pPr>
        <w:numPr>
          <w:ilvl w:val="0"/>
          <w:numId w:val="9"/>
        </w:numPr>
        <w:spacing w:line="480" w:lineRule="auto"/>
        <w:rPr>
          <w:rFonts w:hint="eastAsia" w:ascii="宋体" w:hAnsi="宋体" w:cs="宋体"/>
          <w:sz w:val="28"/>
          <w:szCs w:val="28"/>
        </w:rPr>
      </w:pPr>
      <w:r>
        <w:rPr>
          <w:rFonts w:hint="eastAsia"/>
          <w:sz w:val="24"/>
          <w:szCs w:val="24"/>
        </w:rPr>
        <w:t>每日早上9：00，下午17:00（包含节假日）分两次查阅远程检查仪器运行</w:t>
      </w:r>
      <w:r>
        <w:rPr>
          <w:rFonts w:hint="eastAsia" w:ascii="宋体" w:hAnsi="宋体" w:cs="宋体"/>
          <w:sz w:val="28"/>
          <w:szCs w:val="28"/>
        </w:rPr>
        <w:t>状态,检查数据传输系统是否正常，如发现数据有持续异常情况，立即在现场进行检查处理。</w:t>
      </w:r>
    </w:p>
    <w:p>
      <w:pPr>
        <w:numPr>
          <w:ilvl w:val="0"/>
          <w:numId w:val="9"/>
        </w:numPr>
        <w:spacing w:line="480" w:lineRule="auto"/>
        <w:rPr>
          <w:rFonts w:hint="eastAsia" w:ascii="宋体" w:hAnsi="宋体" w:cs="宋体"/>
          <w:sz w:val="28"/>
          <w:szCs w:val="28"/>
        </w:rPr>
      </w:pPr>
      <w:r>
        <w:rPr>
          <w:rFonts w:hint="eastAsia" w:ascii="宋体" w:hAnsi="宋体" w:cs="宋体"/>
          <w:sz w:val="28"/>
          <w:szCs w:val="28"/>
        </w:rPr>
        <w:t>对设备进行维护后，使用和运行前按国家有关技术规定进行校准检查，保证备有足够的备品备件，以便及时维修。</w:t>
      </w:r>
    </w:p>
    <w:p>
      <w:pPr>
        <w:numPr>
          <w:ilvl w:val="0"/>
          <w:numId w:val="9"/>
        </w:numPr>
        <w:spacing w:line="480" w:lineRule="auto"/>
        <w:rPr>
          <w:rFonts w:hint="eastAsia" w:ascii="宋体" w:hAnsi="宋体" w:cs="宋体"/>
          <w:sz w:val="28"/>
          <w:szCs w:val="28"/>
        </w:rPr>
      </w:pPr>
      <w:r>
        <w:rPr>
          <w:rFonts w:hint="eastAsia" w:ascii="宋体" w:hAnsi="宋体" w:cs="宋体"/>
          <w:sz w:val="28"/>
          <w:szCs w:val="28"/>
        </w:rPr>
        <w:t>建立污染源自动监控设施运营管理档案，建立设备维护、维修记录等技术资料，确保资料内容清晰明确、随时可查。</w:t>
      </w:r>
    </w:p>
    <w:p>
      <w:pPr>
        <w:numPr>
          <w:ilvl w:val="0"/>
          <w:numId w:val="9"/>
        </w:numPr>
        <w:spacing w:line="480" w:lineRule="auto"/>
        <w:rPr>
          <w:rFonts w:hint="eastAsia" w:ascii="宋体" w:hAnsi="宋体" w:cs="宋体"/>
          <w:sz w:val="28"/>
          <w:szCs w:val="28"/>
        </w:rPr>
      </w:pPr>
      <w:r>
        <w:rPr>
          <w:rFonts w:hint="eastAsia" w:ascii="宋体" w:hAnsi="宋体" w:cs="宋体"/>
          <w:sz w:val="28"/>
          <w:szCs w:val="28"/>
        </w:rPr>
        <w:t>负责建立设备运营管理制度，建立完善的岗位职责、设备定期维护维修台账、规程等，制定操作及维修规程和日常保养制度，</w:t>
      </w:r>
      <w:r>
        <w:rPr>
          <w:rFonts w:hint="eastAsia" w:ascii="宋体" w:hAnsi="宋体" w:cs="宋体"/>
          <w:sz w:val="28"/>
          <w:szCs w:val="28"/>
          <w:lang w:val="en-US" w:eastAsia="zh-CN"/>
        </w:rPr>
        <w:t>相关制度制作标志牌并上墙悬挂，</w:t>
      </w:r>
      <w:r>
        <w:rPr>
          <w:rFonts w:hint="eastAsia" w:ascii="宋体" w:hAnsi="宋体" w:cs="宋体"/>
          <w:sz w:val="28"/>
          <w:szCs w:val="28"/>
        </w:rPr>
        <w:t>建立日常运行记录和设备台帐，建立相应的质量保证体系，并接受</w:t>
      </w:r>
      <w:r>
        <w:rPr>
          <w:rFonts w:hint="eastAsia" w:ascii="宋体" w:hAnsi="宋体" w:cs="宋体"/>
          <w:sz w:val="28"/>
          <w:szCs w:val="28"/>
          <w:lang w:eastAsia="zh-CN"/>
        </w:rPr>
        <w:t>招标方</w:t>
      </w:r>
      <w:r>
        <w:rPr>
          <w:rFonts w:hint="eastAsia" w:ascii="宋体" w:hAnsi="宋体" w:cs="宋体"/>
          <w:sz w:val="28"/>
          <w:szCs w:val="28"/>
        </w:rPr>
        <w:t>的检查。</w:t>
      </w:r>
    </w:p>
    <w:p>
      <w:pPr>
        <w:numPr>
          <w:ilvl w:val="0"/>
          <w:numId w:val="9"/>
        </w:numPr>
        <w:spacing w:line="480" w:lineRule="auto"/>
        <w:rPr>
          <w:rFonts w:hint="eastAsia" w:ascii="宋体" w:hAnsi="宋体" w:cs="宋体"/>
          <w:sz w:val="28"/>
          <w:szCs w:val="28"/>
        </w:rPr>
      </w:pPr>
      <w:r>
        <w:rPr>
          <w:rFonts w:hint="eastAsia" w:ascii="宋体" w:hAnsi="宋体" w:cs="宋体"/>
          <w:sz w:val="28"/>
          <w:szCs w:val="28"/>
        </w:rPr>
        <w:t>随时保持所负责维护设备的整洁与卫生，维护现场每个维护作业点都应做到“工完、料净、场地清”。</w:t>
      </w:r>
    </w:p>
    <w:p>
      <w:pPr>
        <w:spacing w:line="480" w:lineRule="auto"/>
        <w:outlineLvl w:val="2"/>
        <w:rPr>
          <w:rFonts w:ascii="宋体" w:hAnsi="宋体" w:cs="宋体"/>
          <w:b/>
          <w:bCs/>
          <w:sz w:val="28"/>
          <w:szCs w:val="28"/>
        </w:rPr>
      </w:pPr>
      <w:r>
        <w:rPr>
          <w:rFonts w:hint="eastAsia" w:ascii="宋体" w:hAnsi="宋体" w:cs="宋体"/>
          <w:b/>
          <w:bCs/>
          <w:sz w:val="28"/>
          <w:szCs w:val="28"/>
        </w:rPr>
        <w:t>8.视频监控设备运维：</w:t>
      </w:r>
    </w:p>
    <w:p>
      <w:pPr>
        <w:spacing w:before="156" w:beforeLines="50" w:after="156" w:afterLines="50" w:line="360" w:lineRule="auto"/>
        <w:jc w:val="left"/>
        <w:rPr>
          <w:rFonts w:ascii="宋体" w:hAnsi="宋体" w:cs="宋体"/>
          <w:sz w:val="28"/>
          <w:szCs w:val="28"/>
        </w:rPr>
      </w:pPr>
      <w:r>
        <w:rPr>
          <w:rFonts w:hint="eastAsia" w:ascii="宋体" w:hAnsi="宋体" w:cs="宋体"/>
          <w:sz w:val="28"/>
          <w:szCs w:val="28"/>
        </w:rPr>
        <w:t>（1）每季度一次设备的除尘、清理，扫净监控设备显露的尘土，对摄像机、防护罩等部件要卸下彻底吹风除尘，之后用无水酒精棉将各个镜头擦干净，调整清晰度，防止由于机器运转、静电等因素将尘土吸入监控设备机体内，确保机器正常运行。同时检查监控机房通风、散热、净尘、供电等设施。</w:t>
      </w:r>
    </w:p>
    <w:p>
      <w:pPr>
        <w:spacing w:before="156" w:beforeLines="50" w:after="156" w:afterLines="50" w:line="360" w:lineRule="auto"/>
        <w:jc w:val="left"/>
        <w:rPr>
          <w:rFonts w:ascii="宋体" w:hAnsi="宋体" w:cs="宋体"/>
          <w:sz w:val="28"/>
          <w:szCs w:val="28"/>
        </w:rPr>
      </w:pPr>
      <w:r>
        <w:rPr>
          <w:rFonts w:hint="eastAsia" w:ascii="宋体" w:hAnsi="宋体" w:cs="宋体"/>
          <w:sz w:val="28"/>
          <w:szCs w:val="28"/>
        </w:rPr>
        <w:t xml:space="preserve">（2）根据监控系统各部份设备的使用说明，季度检测其各项技术参数及监控系统传输线路质量，处理故障隐患，协助监控主管设定使用级别等各种数据，确保各部份设备各项功能良好，能够正常运行。 </w:t>
      </w:r>
    </w:p>
    <w:p>
      <w:pPr>
        <w:spacing w:before="156" w:beforeLines="50" w:after="156" w:afterLines="50" w:line="360" w:lineRule="auto"/>
        <w:jc w:val="left"/>
        <w:rPr>
          <w:rFonts w:ascii="宋体" w:hAnsi="宋体" w:cs="宋体"/>
          <w:sz w:val="28"/>
          <w:szCs w:val="28"/>
        </w:rPr>
      </w:pPr>
      <w:r>
        <w:rPr>
          <w:rFonts w:hint="eastAsia" w:ascii="宋体" w:hAnsi="宋体" w:cs="宋体"/>
          <w:sz w:val="28"/>
          <w:szCs w:val="28"/>
        </w:rPr>
        <w:t xml:space="preserve">（3）对容易老化的监控设备部件不定期进行全面检查，一旦发现老化现象应及时更换、维修，如视频头等。 </w:t>
      </w:r>
    </w:p>
    <w:p>
      <w:pPr>
        <w:spacing w:before="156" w:beforeLines="50" w:after="156" w:afterLines="50" w:line="360" w:lineRule="auto"/>
        <w:jc w:val="left"/>
        <w:rPr>
          <w:rFonts w:ascii="宋体" w:hAnsi="宋体" w:cs="宋体"/>
          <w:sz w:val="28"/>
          <w:szCs w:val="28"/>
        </w:rPr>
      </w:pPr>
      <w:r>
        <w:rPr>
          <w:rFonts w:hint="eastAsia" w:ascii="宋体" w:hAnsi="宋体" w:cs="宋体"/>
          <w:sz w:val="28"/>
          <w:szCs w:val="28"/>
        </w:rPr>
        <w:t xml:space="preserve">（4）对易吸尘部份每季度定期清理一次，如监视器暴露在空气中，由于屏幕的静电作用，会有许多灰尘被吸附在监视器表面，影响画面的清晰度，要定期擦拭监视器，校对监视器的颜色及亮度。 </w:t>
      </w:r>
    </w:p>
    <w:p>
      <w:pPr>
        <w:spacing w:before="156" w:beforeLines="50" w:after="156" w:afterLines="50" w:line="360" w:lineRule="auto"/>
        <w:jc w:val="left"/>
        <w:rPr>
          <w:rFonts w:ascii="宋体" w:hAnsi="宋体" w:cs="宋体"/>
          <w:sz w:val="28"/>
          <w:szCs w:val="28"/>
        </w:rPr>
      </w:pPr>
      <w:r>
        <w:rPr>
          <w:rFonts w:hint="eastAsia" w:ascii="宋体" w:hAnsi="宋体" w:cs="宋体"/>
          <w:sz w:val="28"/>
          <w:szCs w:val="28"/>
        </w:rPr>
        <w:t xml:space="preserve">（5） 对长时间工作的监控设备不定期维护，如硬盘录像机长时间工作会产生较多的热量，一旦其电风扇有故障，会影响排热，以免硬盘录像机工作不正常。 </w:t>
      </w:r>
    </w:p>
    <w:p>
      <w:pPr>
        <w:spacing w:before="156" w:beforeLines="50" w:after="156" w:afterLines="50" w:line="360" w:lineRule="auto"/>
        <w:jc w:val="left"/>
        <w:rPr>
          <w:rFonts w:ascii="宋体" w:hAnsi="宋体" w:cs="宋体"/>
          <w:sz w:val="28"/>
          <w:szCs w:val="28"/>
        </w:rPr>
      </w:pPr>
      <w:r>
        <w:rPr>
          <w:rFonts w:hint="eastAsia" w:ascii="宋体" w:hAnsi="宋体" w:cs="宋体"/>
          <w:sz w:val="28"/>
          <w:szCs w:val="28"/>
        </w:rPr>
        <w:t>（6） 对监控系统及设备的运行情况进行监控，分析运行情况，及时发现并排除故障。</w:t>
      </w:r>
    </w:p>
    <w:p>
      <w:pPr>
        <w:spacing w:line="480" w:lineRule="auto"/>
        <w:ind w:left="425"/>
        <w:rPr>
          <w:rFonts w:hint="eastAsia" w:ascii="宋体" w:hAnsi="宋体" w:cs="宋体"/>
          <w:sz w:val="28"/>
          <w:szCs w:val="28"/>
        </w:rPr>
      </w:pPr>
    </w:p>
    <w:p>
      <w:pPr>
        <w:pStyle w:val="3"/>
        <w:numPr>
          <w:ilvl w:val="0"/>
          <w:numId w:val="1"/>
        </w:numPr>
        <w:spacing w:before="156" w:beforeLines="50" w:after="0" w:line="480" w:lineRule="auto"/>
        <w:rPr>
          <w:rFonts w:hint="eastAsia" w:ascii="宋体" w:hAnsi="宋体" w:eastAsia="宋体" w:cs="宋体"/>
        </w:rPr>
      </w:pPr>
      <w:bookmarkStart w:id="26" w:name="_Toc2300_WPSOffice_Level1"/>
      <w:bookmarkStart w:id="27" w:name="_Toc22890_WPSOffice_Level1"/>
      <w:bookmarkStart w:id="28" w:name="_Toc17501"/>
      <w:r>
        <w:rPr>
          <w:rFonts w:hint="eastAsia" w:ascii="宋体" w:hAnsi="宋体" w:eastAsia="宋体" w:cs="宋体"/>
        </w:rPr>
        <w:t>工作流程</w:t>
      </w:r>
      <w:bookmarkEnd w:id="26"/>
      <w:bookmarkEnd w:id="27"/>
      <w:bookmarkEnd w:id="28"/>
    </w:p>
    <w:p>
      <w:pPr>
        <w:widowControl/>
        <w:spacing w:after="624" w:afterLines="200"/>
        <w:jc w:val="center"/>
        <w:rPr>
          <w:rFonts w:hint="eastAsia" w:ascii="宋体" w:hAnsi="宋体" w:cs="宋体"/>
          <w:b/>
          <w:bCs/>
          <w:sz w:val="32"/>
          <w:szCs w:val="32"/>
        </w:rPr>
      </w:pPr>
      <w:r>
        <w:drawing>
          <wp:inline distT="0" distB="0" distL="114300" distR="114300">
            <wp:extent cx="6114415" cy="5126990"/>
            <wp:effectExtent l="0" t="0" r="635" b="165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6114415" cy="5126990"/>
                    </a:xfrm>
                    <a:prstGeom prst="rect">
                      <a:avLst/>
                    </a:prstGeom>
                    <a:noFill/>
                    <a:ln>
                      <a:noFill/>
                    </a:ln>
                  </pic:spPr>
                </pic:pic>
              </a:graphicData>
            </a:graphic>
          </wp:inline>
        </w:drawing>
      </w:r>
    </w:p>
    <w:p>
      <w:pPr>
        <w:pStyle w:val="3"/>
        <w:numPr>
          <w:ilvl w:val="0"/>
          <w:numId w:val="1"/>
        </w:numPr>
        <w:spacing w:before="156" w:beforeLines="50" w:after="0" w:line="480" w:lineRule="auto"/>
        <w:rPr>
          <w:rFonts w:hint="eastAsia" w:ascii="宋体" w:hAnsi="宋体" w:eastAsia="宋体" w:cs="宋体"/>
        </w:rPr>
      </w:pPr>
      <w:bookmarkStart w:id="29" w:name="_Toc31826_WPSOffice_Level1"/>
      <w:bookmarkStart w:id="30" w:name="_Toc23423"/>
      <w:bookmarkStart w:id="31" w:name="_Toc1715_WPSOffice_Level1"/>
      <w:r>
        <w:rPr>
          <w:rFonts w:hint="eastAsia" w:ascii="宋体" w:hAnsi="宋体" w:eastAsia="宋体" w:cs="宋体"/>
          <w:lang w:val="en-US" w:eastAsia="zh-CN"/>
        </w:rPr>
        <w:t>投标方</w:t>
      </w:r>
      <w:r>
        <w:rPr>
          <w:rFonts w:hint="eastAsia" w:ascii="宋体" w:hAnsi="宋体" w:eastAsia="宋体" w:cs="宋体"/>
        </w:rPr>
        <w:t>管理制度</w:t>
      </w:r>
      <w:bookmarkEnd w:id="29"/>
      <w:bookmarkEnd w:id="30"/>
      <w:bookmarkEnd w:id="31"/>
    </w:p>
    <w:p>
      <w:pPr>
        <w:autoSpaceDE w:val="0"/>
        <w:spacing w:line="480" w:lineRule="auto"/>
        <w:ind w:firstLine="281" w:firstLineChars="100"/>
        <w:outlineLvl w:val="2"/>
        <w:rPr>
          <w:rFonts w:hint="eastAsia" w:ascii="宋体" w:hAnsi="宋体" w:cs="宋体"/>
          <w:b/>
          <w:bCs/>
          <w:sz w:val="28"/>
          <w:szCs w:val="28"/>
        </w:rPr>
      </w:pPr>
      <w:bookmarkStart w:id="32" w:name="_Toc6500"/>
      <w:r>
        <w:rPr>
          <w:rFonts w:hint="eastAsia" w:ascii="宋体" w:hAnsi="宋体" w:cs="宋体"/>
          <w:b/>
          <w:bCs/>
          <w:sz w:val="28"/>
          <w:szCs w:val="28"/>
          <w:lang w:bidi="ar"/>
        </w:rPr>
        <w:t>1.责任落实</w:t>
      </w:r>
      <w:bookmarkEnd w:id="32"/>
    </w:p>
    <w:p>
      <w:pPr>
        <w:autoSpaceDE w:val="0"/>
        <w:spacing w:line="480" w:lineRule="auto"/>
        <w:ind w:firstLine="560" w:firstLineChars="200"/>
        <w:rPr>
          <w:rFonts w:hint="eastAsia" w:ascii="宋体" w:hAnsi="宋体" w:cs="宋体"/>
          <w:sz w:val="28"/>
          <w:szCs w:val="28"/>
        </w:rPr>
      </w:pPr>
      <w:r>
        <w:rPr>
          <w:rFonts w:hint="eastAsia" w:ascii="宋体" w:hAnsi="宋体" w:cs="宋体"/>
          <w:sz w:val="28"/>
          <w:szCs w:val="28"/>
          <w:lang w:bidi="ar"/>
        </w:rPr>
        <w:t>1.1技术人员对维护站点在线监测设备运行情况负责；</w:t>
      </w:r>
    </w:p>
    <w:p>
      <w:pPr>
        <w:autoSpaceDE w:val="0"/>
        <w:spacing w:line="480" w:lineRule="auto"/>
        <w:ind w:firstLine="560" w:firstLineChars="200"/>
        <w:rPr>
          <w:rFonts w:hint="eastAsia" w:ascii="宋体" w:hAnsi="宋体" w:cs="宋体"/>
          <w:sz w:val="28"/>
          <w:szCs w:val="28"/>
        </w:rPr>
      </w:pPr>
      <w:r>
        <w:rPr>
          <w:rFonts w:hint="eastAsia" w:ascii="宋体" w:hAnsi="宋体" w:cs="宋体"/>
          <w:sz w:val="28"/>
          <w:szCs w:val="28"/>
          <w:lang w:bidi="ar"/>
        </w:rPr>
        <w:t>1.2管理人员对项目负管理责任，全面负责运维工作和运维人员管理；</w:t>
      </w:r>
    </w:p>
    <w:p>
      <w:pPr>
        <w:autoSpaceDE w:val="0"/>
        <w:spacing w:line="480" w:lineRule="auto"/>
        <w:ind w:firstLine="560" w:firstLineChars="200"/>
        <w:rPr>
          <w:rFonts w:hint="eastAsia" w:ascii="宋体" w:hAnsi="宋体" w:cs="宋体"/>
          <w:sz w:val="28"/>
          <w:szCs w:val="28"/>
        </w:rPr>
      </w:pPr>
      <w:r>
        <w:rPr>
          <w:rFonts w:hint="eastAsia" w:ascii="宋体" w:hAnsi="宋体" w:cs="宋体"/>
          <w:sz w:val="28"/>
          <w:szCs w:val="28"/>
          <w:lang w:bidi="ar"/>
        </w:rPr>
        <w:t>1.3技术人员应熟悉相关规范和使用说明书要求，进行运维工作。仪器故障按要求及时排除，并按要求和流程如实报告。设备故障期间，</w:t>
      </w:r>
      <w:r>
        <w:rPr>
          <w:rFonts w:hint="eastAsia" w:ascii="宋体" w:hAnsi="宋体" w:cs="宋体"/>
          <w:sz w:val="28"/>
          <w:szCs w:val="28"/>
          <w:lang w:val="en-US" w:eastAsia="zh-CN" w:bidi="ar"/>
        </w:rPr>
        <w:t>投标方</w:t>
      </w:r>
      <w:r>
        <w:rPr>
          <w:rFonts w:hint="eastAsia" w:ascii="宋体" w:hAnsi="宋体" w:cs="宋体"/>
          <w:sz w:val="28"/>
          <w:szCs w:val="28"/>
          <w:lang w:bidi="ar"/>
        </w:rPr>
        <w:t>及时上报手工监测数据。</w:t>
      </w:r>
    </w:p>
    <w:p>
      <w:pPr>
        <w:autoSpaceDE w:val="0"/>
        <w:spacing w:line="480" w:lineRule="auto"/>
        <w:ind w:firstLine="281" w:firstLineChars="100"/>
        <w:outlineLvl w:val="2"/>
        <w:rPr>
          <w:rFonts w:hint="eastAsia" w:ascii="宋体" w:hAnsi="宋体" w:cs="宋体"/>
          <w:b/>
          <w:bCs/>
          <w:sz w:val="28"/>
          <w:szCs w:val="28"/>
        </w:rPr>
      </w:pPr>
      <w:bookmarkStart w:id="33" w:name="_Toc4819"/>
      <w:r>
        <w:rPr>
          <w:rFonts w:hint="eastAsia" w:ascii="宋体" w:hAnsi="宋体" w:cs="宋体"/>
          <w:b/>
          <w:bCs/>
          <w:sz w:val="28"/>
          <w:szCs w:val="28"/>
          <w:lang w:bidi="ar"/>
        </w:rPr>
        <w:t>2.在运维工作中实行内部督查检查</w:t>
      </w:r>
      <w:bookmarkEnd w:id="33"/>
    </w:p>
    <w:p>
      <w:pPr>
        <w:autoSpaceDE w:val="0"/>
        <w:spacing w:line="480" w:lineRule="auto"/>
        <w:ind w:firstLine="560" w:firstLineChars="200"/>
        <w:rPr>
          <w:rFonts w:hint="eastAsia" w:ascii="宋体" w:hAnsi="宋体" w:cs="宋体"/>
          <w:sz w:val="28"/>
          <w:szCs w:val="28"/>
        </w:rPr>
      </w:pPr>
      <w:r>
        <w:rPr>
          <w:rFonts w:hint="eastAsia" w:ascii="宋体" w:hAnsi="宋体" w:cs="宋体"/>
          <w:sz w:val="28"/>
          <w:szCs w:val="28"/>
          <w:lang w:bidi="ar"/>
        </w:rPr>
        <w:t>2.1</w:t>
      </w:r>
      <w:r>
        <w:rPr>
          <w:rFonts w:hint="eastAsia" w:ascii="宋体" w:hAnsi="宋体" w:cs="宋体"/>
          <w:sz w:val="28"/>
          <w:szCs w:val="28"/>
          <w:lang w:val="en-US" w:eastAsia="zh-CN" w:bidi="ar"/>
        </w:rPr>
        <w:t>配置</w:t>
      </w:r>
      <w:r>
        <w:rPr>
          <w:rFonts w:hint="eastAsia" w:ascii="宋体" w:hAnsi="宋体" w:cs="宋体"/>
          <w:sz w:val="28"/>
          <w:szCs w:val="28"/>
          <w:lang w:bidi="ar"/>
        </w:rPr>
        <w:t>督查</w:t>
      </w:r>
      <w:r>
        <w:rPr>
          <w:rFonts w:hint="eastAsia" w:ascii="宋体" w:hAnsi="宋体" w:cs="宋体"/>
          <w:sz w:val="28"/>
          <w:szCs w:val="28"/>
          <w:lang w:val="en-US" w:eastAsia="zh-CN" w:bidi="ar"/>
        </w:rPr>
        <w:t>组</w:t>
      </w:r>
      <w:r>
        <w:rPr>
          <w:rFonts w:hint="eastAsia" w:ascii="宋体" w:hAnsi="宋体" w:cs="宋体"/>
          <w:sz w:val="28"/>
          <w:szCs w:val="28"/>
          <w:lang w:bidi="ar"/>
        </w:rPr>
        <w:t>检查人员</w:t>
      </w:r>
    </w:p>
    <w:p>
      <w:pPr>
        <w:autoSpaceDE w:val="0"/>
        <w:spacing w:line="360" w:lineRule="auto"/>
        <w:ind w:firstLine="560" w:firstLineChars="200"/>
        <w:rPr>
          <w:rFonts w:hint="eastAsia" w:ascii="宋体" w:hAnsi="宋体" w:cs="宋体"/>
          <w:sz w:val="28"/>
          <w:szCs w:val="28"/>
        </w:rPr>
      </w:pPr>
      <w:r>
        <w:rPr>
          <w:rFonts w:hint="eastAsia" w:ascii="宋体" w:hAnsi="宋体" w:cs="宋体"/>
          <w:sz w:val="28"/>
          <w:szCs w:val="28"/>
          <w:lang w:bidi="ar"/>
        </w:rPr>
        <w:t>2.2现场督察工作每年不少于一次，由督查小组对现场运维情况进行考评，实施内部奖惩。</w:t>
      </w:r>
    </w:p>
    <w:p>
      <w:pPr>
        <w:autoSpaceDE w:val="0"/>
        <w:spacing w:line="360" w:lineRule="auto"/>
        <w:ind w:firstLine="560" w:firstLineChars="200"/>
        <w:rPr>
          <w:rFonts w:hint="eastAsia" w:ascii="宋体" w:hAnsi="宋体" w:cs="宋体"/>
          <w:sz w:val="28"/>
          <w:szCs w:val="28"/>
        </w:rPr>
      </w:pPr>
      <w:r>
        <w:rPr>
          <w:rFonts w:hint="eastAsia" w:ascii="宋体" w:hAnsi="宋体" w:cs="宋体"/>
          <w:sz w:val="28"/>
          <w:szCs w:val="28"/>
          <w:lang w:bidi="ar"/>
        </w:rPr>
        <w:t>2.3随时抽查、考勤，保障技术人员按照</w:t>
      </w:r>
      <w:r>
        <w:rPr>
          <w:rFonts w:hint="eastAsia" w:ascii="宋体" w:hAnsi="宋体" w:cs="宋体"/>
          <w:sz w:val="28"/>
          <w:szCs w:val="28"/>
          <w:lang w:eastAsia="zh-CN" w:bidi="ar"/>
        </w:rPr>
        <w:t>招标方</w:t>
      </w:r>
      <w:r>
        <w:rPr>
          <w:rFonts w:hint="eastAsia" w:ascii="宋体" w:hAnsi="宋体" w:cs="宋体"/>
          <w:sz w:val="28"/>
          <w:szCs w:val="28"/>
          <w:lang w:bidi="ar"/>
        </w:rPr>
        <w:t>要求认真负责做好运维工作。</w:t>
      </w:r>
    </w:p>
    <w:p>
      <w:pPr>
        <w:autoSpaceDE w:val="0"/>
        <w:spacing w:line="360" w:lineRule="auto"/>
        <w:ind w:firstLine="560" w:firstLineChars="200"/>
        <w:rPr>
          <w:rFonts w:hint="eastAsia" w:ascii="宋体" w:hAnsi="宋体" w:cs="宋体"/>
          <w:sz w:val="28"/>
          <w:szCs w:val="28"/>
        </w:rPr>
      </w:pPr>
      <w:r>
        <w:rPr>
          <w:rFonts w:hint="eastAsia" w:ascii="宋体" w:hAnsi="宋体" w:cs="宋体"/>
          <w:sz w:val="28"/>
          <w:szCs w:val="28"/>
          <w:lang w:bidi="ar"/>
        </w:rPr>
        <w:t>2.4对于发现维护不到位的地方及时提出整改意见，多次督察不合格的将调离该项目。</w:t>
      </w:r>
    </w:p>
    <w:p>
      <w:pPr>
        <w:pStyle w:val="3"/>
        <w:numPr>
          <w:ilvl w:val="0"/>
          <w:numId w:val="1"/>
        </w:numPr>
        <w:spacing w:before="156" w:beforeLines="50" w:after="0" w:line="480" w:lineRule="auto"/>
        <w:rPr>
          <w:rFonts w:hint="eastAsia" w:ascii="宋体" w:hAnsi="宋体" w:eastAsia="宋体" w:cs="宋体"/>
        </w:rPr>
      </w:pPr>
      <w:bookmarkStart w:id="34" w:name="_Toc23824_WPSOffice_Level1"/>
      <w:bookmarkStart w:id="35" w:name="_Toc4451_WPSOffice_Level1"/>
      <w:bookmarkStart w:id="36" w:name="_Toc31927"/>
      <w:r>
        <w:rPr>
          <w:rFonts w:hint="eastAsia" w:ascii="宋体" w:hAnsi="宋体" w:eastAsia="宋体" w:cs="宋体"/>
          <w:lang w:val="en-US" w:eastAsia="zh-CN"/>
        </w:rPr>
        <w:t>投标方</w:t>
      </w:r>
      <w:r>
        <w:rPr>
          <w:rFonts w:hint="eastAsia" w:ascii="宋体" w:hAnsi="宋体" w:eastAsia="宋体" w:cs="宋体"/>
        </w:rPr>
        <w:t>过程记录</w:t>
      </w:r>
      <w:bookmarkEnd w:id="34"/>
      <w:bookmarkEnd w:id="35"/>
      <w:r>
        <w:rPr>
          <w:rFonts w:hint="eastAsia" w:ascii="宋体" w:hAnsi="宋体" w:eastAsia="宋体" w:cs="宋体"/>
          <w:lang w:val="en-US" w:eastAsia="zh-CN"/>
        </w:rPr>
        <w:t>要求</w:t>
      </w:r>
      <w:bookmarkEnd w:id="36"/>
    </w:p>
    <w:p>
      <w:pPr>
        <w:autoSpaceDE w:val="0"/>
        <w:spacing w:line="360" w:lineRule="auto"/>
        <w:ind w:firstLine="560" w:firstLineChars="200"/>
        <w:rPr>
          <w:rFonts w:hint="eastAsia" w:ascii="宋体" w:hAnsi="宋体" w:cs="宋体"/>
          <w:sz w:val="28"/>
          <w:szCs w:val="28"/>
          <w:lang w:bidi="ar"/>
        </w:rPr>
      </w:pPr>
      <w:r>
        <w:rPr>
          <w:rFonts w:hint="eastAsia" w:ascii="宋体" w:hAnsi="宋体" w:cs="宋体"/>
          <w:sz w:val="28"/>
          <w:szCs w:val="28"/>
          <w:lang w:bidi="ar"/>
        </w:rPr>
        <w:t>1.现场台账包括：日常巡检记录、维修记录、校正记录、校验记录、配件更换记录等。</w:t>
      </w:r>
    </w:p>
    <w:p>
      <w:pPr>
        <w:autoSpaceDE w:val="0"/>
        <w:spacing w:line="360" w:lineRule="auto"/>
        <w:ind w:firstLine="560" w:firstLineChars="200"/>
        <w:rPr>
          <w:rFonts w:hint="eastAsia" w:ascii="宋体" w:hAnsi="宋体" w:cs="宋体"/>
          <w:sz w:val="28"/>
          <w:szCs w:val="28"/>
          <w:lang w:bidi="ar"/>
        </w:rPr>
      </w:pPr>
      <w:r>
        <w:rPr>
          <w:rFonts w:hint="eastAsia" w:ascii="宋体" w:hAnsi="宋体" w:cs="宋体"/>
          <w:sz w:val="28"/>
          <w:szCs w:val="28"/>
          <w:lang w:bidi="ar"/>
        </w:rPr>
        <w:t>2.所有维护台账记录原则上需双方签字，若不能及时签字的，需在记录单注明原因。</w:t>
      </w:r>
    </w:p>
    <w:p>
      <w:pPr>
        <w:autoSpaceDE w:val="0"/>
        <w:spacing w:line="360" w:lineRule="auto"/>
        <w:ind w:firstLine="560" w:firstLineChars="200"/>
        <w:rPr>
          <w:rFonts w:hint="eastAsia" w:ascii="宋体" w:hAnsi="宋体" w:cs="宋体"/>
          <w:sz w:val="28"/>
          <w:szCs w:val="28"/>
          <w:lang w:bidi="ar"/>
        </w:rPr>
      </w:pPr>
      <w:r>
        <w:rPr>
          <w:rFonts w:hint="eastAsia" w:ascii="宋体" w:hAnsi="宋体" w:cs="宋体"/>
          <w:sz w:val="28"/>
          <w:szCs w:val="28"/>
          <w:lang w:bidi="ar"/>
        </w:rPr>
        <w:t>3.设备故障或数据漂移，应如实记录并留影像资料，以备查验。</w:t>
      </w:r>
    </w:p>
    <w:p>
      <w:pPr>
        <w:autoSpaceDE w:val="0"/>
        <w:spacing w:line="360" w:lineRule="auto"/>
        <w:ind w:firstLine="560" w:firstLineChars="200"/>
        <w:rPr>
          <w:rFonts w:hint="eastAsia" w:ascii="宋体" w:hAnsi="宋体" w:cs="宋体"/>
          <w:sz w:val="28"/>
          <w:szCs w:val="28"/>
          <w:lang w:bidi="ar"/>
        </w:rPr>
      </w:pPr>
      <w:r>
        <w:rPr>
          <w:rFonts w:hint="eastAsia" w:ascii="宋体" w:hAnsi="宋体" w:cs="宋体"/>
          <w:sz w:val="28"/>
          <w:szCs w:val="28"/>
          <w:lang w:bidi="ar"/>
        </w:rPr>
        <w:t>4.所有记录需上传至APP软件，以便随时查看是否按时到场巡检和应急维修。</w:t>
      </w:r>
    </w:p>
    <w:p>
      <w:pPr>
        <w:pStyle w:val="3"/>
        <w:numPr>
          <w:ilvl w:val="0"/>
          <w:numId w:val="1"/>
        </w:numPr>
        <w:spacing w:before="156" w:beforeLines="50" w:after="0" w:line="480" w:lineRule="auto"/>
        <w:rPr>
          <w:rFonts w:hint="eastAsia" w:ascii="宋体" w:hAnsi="宋体" w:eastAsia="宋体" w:cs="宋体"/>
        </w:rPr>
      </w:pPr>
      <w:bookmarkStart w:id="37" w:name="_Toc13028_WPSOffice_Level1"/>
      <w:bookmarkStart w:id="38" w:name="_Toc20565_WPSOffice_Level1"/>
      <w:bookmarkStart w:id="39" w:name="_Toc26534"/>
      <w:r>
        <w:rPr>
          <w:rFonts w:hint="eastAsia" w:ascii="宋体" w:hAnsi="宋体" w:eastAsia="宋体" w:cs="宋体"/>
          <w:lang w:val="en-US" w:eastAsia="zh-CN"/>
        </w:rPr>
        <w:t>投标方</w:t>
      </w:r>
      <w:r>
        <w:rPr>
          <w:rFonts w:hint="eastAsia" w:ascii="宋体" w:hAnsi="宋体" w:eastAsia="宋体" w:cs="宋体"/>
        </w:rPr>
        <w:t>质量管理</w:t>
      </w:r>
      <w:bookmarkEnd w:id="37"/>
      <w:bookmarkEnd w:id="38"/>
      <w:r>
        <w:rPr>
          <w:rFonts w:hint="eastAsia" w:ascii="宋体" w:hAnsi="宋体" w:eastAsia="宋体" w:cs="宋体"/>
        </w:rPr>
        <w:t>措施</w:t>
      </w:r>
      <w:bookmarkEnd w:id="39"/>
    </w:p>
    <w:p>
      <w:pPr>
        <w:numPr>
          <w:ilvl w:val="0"/>
          <w:numId w:val="10"/>
        </w:numPr>
        <w:tabs>
          <w:tab w:val="left" w:pos="0"/>
        </w:tabs>
        <w:spacing w:line="360" w:lineRule="auto"/>
        <w:jc w:val="left"/>
        <w:rPr>
          <w:rFonts w:hint="eastAsia" w:ascii="宋体" w:hAnsi="宋体" w:cs="宋体"/>
          <w:sz w:val="28"/>
          <w:szCs w:val="28"/>
        </w:rPr>
      </w:pPr>
      <w:r>
        <w:rPr>
          <w:rFonts w:hint="eastAsia" w:ascii="宋体" w:hAnsi="宋体" w:cs="宋体"/>
          <w:sz w:val="28"/>
          <w:szCs w:val="28"/>
        </w:rPr>
        <w:t>操作人员按国家相关规定，经培训考核合格，持证上岗。</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具有自动校准功能的颗粒物CEMS和气态污染物CEMS每24小时至少自动校准一次仪器零点和量程。</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无自动校准功能的颗粒物CEMS每15天至少校准一次仪器的零点和量程。</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无自动校准功能的直接测量法气态污染物CEMS每15天至少校准一次仪器的零点和量程。</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无自动校准功能的抽取式气态污染物CEMS每7天至少校准一次仪器零点和量程。</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抽取式气态污染物CEMS每3个月至少进行一次全系统的校准，要求零气和标准气体从站房出发，经采样探头末端与样品气体通过的路径（如采样探头、过滤器、洗涤器、调节器、分析仪表等）一致，进行零点和量程漂移、示值误差和系统响应时间的检测。</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具有自动校准功能的流速CMS每24小时至少进行一次零点校准；无自动校准功能的流速CMS每30天至少进行一次零点校准。</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有自动校准功能的测试单元每6个月至少做一次校验，没有自动校准功能的测试单元每3个月至少做一次校验；校验用参比方法和CEMS同时段数据进行比对。</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校验结果应符合CEMS校准校验技术指标要求，不符合时，则应扩展为对颗粒物CEMS 的相关系数的校正或/和评估气态污染物CEMS 的相对准确度或/和流速CMS 的速度场系数（或相关性）的校正，直到烟气CEMS 达到标准要求。</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不应采用与烟气CEMS 测试原理相同的参比方法校验烟气CEMS；</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rPr>
        <w:t>当CEMS不能满足技术指标而失控时，应及时采取纠正措施，并应缩短下一次校准、维护和校验的间隔时间。</w:t>
      </w:r>
    </w:p>
    <w:p>
      <w:pPr>
        <w:numPr>
          <w:ilvl w:val="0"/>
          <w:numId w:val="10"/>
        </w:numPr>
        <w:snapToGrid w:val="0"/>
        <w:spacing w:line="360" w:lineRule="auto"/>
        <w:rPr>
          <w:rFonts w:hint="eastAsia" w:ascii="宋体" w:hAnsi="宋体" w:cs="宋体"/>
          <w:sz w:val="28"/>
          <w:szCs w:val="28"/>
        </w:rPr>
      </w:pPr>
      <w:r>
        <w:rPr>
          <w:rFonts w:hint="eastAsia" w:ascii="宋体" w:hAnsi="宋体" w:cs="宋体"/>
          <w:sz w:val="28"/>
          <w:szCs w:val="28"/>
          <w:lang w:val="en-US" w:eastAsia="zh-CN"/>
        </w:rPr>
        <w:t>负责数采仪数据定期备份及对数采仪进行定期检查、维护。</w:t>
      </w:r>
    </w:p>
    <w:p>
      <w:pPr>
        <w:numPr>
          <w:ilvl w:val="0"/>
          <w:numId w:val="10"/>
        </w:numPr>
        <w:snapToGrid w:val="0"/>
        <w:spacing w:line="360" w:lineRule="auto"/>
        <w:rPr>
          <w:rFonts w:hint="eastAsia" w:ascii="宋体" w:hAnsi="宋体" w:eastAsia="宋体" w:cs="宋体"/>
          <w:sz w:val="28"/>
          <w:szCs w:val="28"/>
          <w:lang w:val="en-US" w:eastAsia="zh-CN"/>
        </w:rPr>
      </w:pPr>
      <w:r>
        <w:rPr>
          <w:rFonts w:hint="eastAsia" w:ascii="宋体" w:hAnsi="宋体" w:cs="宋体"/>
          <w:sz w:val="28"/>
          <w:szCs w:val="28"/>
          <w:lang w:val="en-US" w:eastAsia="zh-CN"/>
        </w:rPr>
        <w:t>当固定污染源烟气排放连续监测系统相关法律、法规、规范、指导文件等</w:t>
      </w:r>
      <w:r>
        <w:rPr>
          <w:rFonts w:hint="eastAsia" w:ascii="宋体" w:hAnsi="宋体" w:eastAsia="宋体" w:cs="宋体"/>
          <w:sz w:val="28"/>
          <w:szCs w:val="28"/>
          <w:lang w:val="en-US" w:eastAsia="zh-CN"/>
        </w:rPr>
        <w:t>变更时及时调整以适应最新要求。</w:t>
      </w:r>
    </w:p>
    <w:p>
      <w:pPr>
        <w:pStyle w:val="3"/>
        <w:numPr>
          <w:ilvl w:val="0"/>
          <w:numId w:val="1"/>
        </w:numPr>
        <w:spacing w:before="156" w:beforeLines="50" w:after="0" w:line="480" w:lineRule="auto"/>
        <w:rPr>
          <w:rFonts w:hint="eastAsia" w:ascii="宋体" w:hAnsi="宋体" w:eastAsia="宋体" w:cs="宋体"/>
          <w:sz w:val="30"/>
          <w:szCs w:val="30"/>
          <w:lang w:val="en-US" w:eastAsia="zh-CN"/>
        </w:rPr>
      </w:pPr>
      <w:bookmarkStart w:id="40" w:name="_Toc29639"/>
      <w:r>
        <w:rPr>
          <w:rFonts w:hint="eastAsia" w:ascii="宋体" w:hAnsi="宋体" w:eastAsia="宋体" w:cs="宋体"/>
          <w:sz w:val="30"/>
          <w:szCs w:val="30"/>
          <w:lang w:val="en-US" w:eastAsia="zh-CN"/>
        </w:rPr>
        <w:t>考核条款</w:t>
      </w:r>
      <w:bookmarkEnd w:id="40"/>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设备日常保养、清洁、消缺、巡视检查、资料报表提交等未按要求定期开展或开展不到位，视情况考核承包单位200-1000元/次。</w:t>
      </w:r>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维护期间设备均能够一次启动成功且正常运行，如发生设备不能一次启动成功的情况，考核承包单位200-500元/次。</w:t>
      </w:r>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在维护合同期内，承包单位对设备故障无法处理的，技术力量欠缺的，发包单位可另行组织人员对设备进行检修维护，产生的费用由承包单位承担。</w:t>
      </w:r>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因承包单位维护不当致使设备故障，由承包单位负责免费返修，造成设备损坏严重不能修复的的按发包单位100%购买价进行赔偿。</w:t>
      </w:r>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如因承包单位维护质量问题或因承包单位责任所提供的备件质量问题，造成发包单位一般经济损失的，考核承包单位200-1000元/次；造成发包单位重大经济损失的，考核承包单位1000-10000元/次。</w:t>
      </w:r>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按不同设备缺陷级别，接到发包单位消缺通知后，承包未按时到厂处理缺陷的，每次考核200-500元/次；同一设备、同一位置发生缺陷消除后三个月内无重复缺陷发生，不符合要求的，每条缺陷考核承包单位200元；发生因备件不足导致缺陷需延期处理的，承包单位如未及时向发包单位提交详细、准确的物资需求计划的，每条缺陷考核承包单位200-500元。</w:t>
      </w:r>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违反发包单位“两票三制”、《安规》、《文明生产管理规范》等生产制度要求的，每发生一起考核承包单位200-500元。</w:t>
      </w:r>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日常定期维护保养备件计划承包单位未按规定提交的，考核承包单位300元/次。</w:t>
      </w:r>
    </w:p>
    <w:p>
      <w:pPr>
        <w:numPr>
          <w:ilvl w:val="0"/>
          <w:numId w:val="11"/>
        </w:numPr>
        <w:spacing w:line="360" w:lineRule="auto"/>
        <w:contextualSpacing/>
      </w:pPr>
      <w:r>
        <w:rPr>
          <w:rFonts w:hint="eastAsia" w:asciiTheme="minorEastAsia" w:hAnsiTheme="minorEastAsia"/>
          <w:sz w:val="24"/>
        </w:rPr>
        <w:t>设备检修、维护、物资需求年度工作计划未按时提交的，考核承包单位5000元。</w:t>
      </w:r>
    </w:p>
    <w:p>
      <w:pPr>
        <w:numPr>
          <w:ilvl w:val="0"/>
          <w:numId w:val="11"/>
        </w:numPr>
        <w:spacing w:line="360" w:lineRule="auto"/>
        <w:contextualSpacing/>
        <w:rPr>
          <w:rFonts w:asciiTheme="minorEastAsia" w:hAnsiTheme="minorEastAsia"/>
          <w:sz w:val="24"/>
        </w:rPr>
      </w:pPr>
      <w:r>
        <w:rPr>
          <w:rFonts w:hint="eastAsia" w:asciiTheme="minorEastAsia" w:hAnsiTheme="minorEastAsia"/>
          <w:sz w:val="24"/>
        </w:rPr>
        <w:t>发包单位有权单方面解除合同无需承担任何补偿或赔偿责任情形：</w:t>
      </w:r>
    </w:p>
    <w:p>
      <w:pPr>
        <w:spacing w:line="360" w:lineRule="auto"/>
        <w:ind w:firstLine="480" w:firstLineChars="200"/>
        <w:contextualSpacing/>
        <w:rPr>
          <w:rFonts w:asciiTheme="minorEastAsia" w:hAnsiTheme="minorEastAsia" w:eastAsiaTheme="minorEastAsia"/>
          <w:sz w:val="24"/>
        </w:rPr>
      </w:pPr>
      <w:r>
        <w:rPr>
          <w:rFonts w:hint="eastAsia" w:asciiTheme="minorEastAsia" w:hAnsiTheme="minorEastAsia"/>
          <w:sz w:val="24"/>
        </w:rPr>
        <w:t>10.1</w:t>
      </w:r>
      <w:r>
        <w:rPr>
          <w:rFonts w:hint="eastAsia" w:asciiTheme="minorEastAsia" w:hAnsiTheme="minorEastAsia"/>
          <w:sz w:val="24"/>
          <w:lang w:val="en-US" w:eastAsia="zh-CN"/>
        </w:rPr>
        <w:t xml:space="preserve"> </w:t>
      </w:r>
      <w:r>
        <w:rPr>
          <w:rFonts w:hint="eastAsia" w:asciiTheme="minorEastAsia" w:hAnsiTheme="minorEastAsia"/>
          <w:sz w:val="24"/>
        </w:rPr>
        <w:t>承包单位擅自将本合同的项目转让或转包给其他单位承包。</w:t>
      </w:r>
    </w:p>
    <w:p>
      <w:pPr>
        <w:spacing w:line="360" w:lineRule="auto"/>
        <w:ind w:firstLine="480" w:firstLineChars="200"/>
        <w:contextualSpacing/>
        <w:rPr>
          <w:rFonts w:asciiTheme="minorEastAsia" w:hAnsiTheme="minorEastAsia"/>
          <w:sz w:val="24"/>
        </w:rPr>
      </w:pPr>
      <w:r>
        <w:rPr>
          <w:rFonts w:hint="eastAsia" w:asciiTheme="minorEastAsia" w:hAnsiTheme="minorEastAsia"/>
          <w:sz w:val="24"/>
        </w:rPr>
        <w:t>10.</w:t>
      </w:r>
      <w:r>
        <w:rPr>
          <w:rFonts w:hint="eastAsia" w:asciiTheme="minorEastAsia" w:hAnsiTheme="minorEastAsia"/>
          <w:sz w:val="24"/>
          <w:lang w:val="en-US" w:eastAsia="zh-CN"/>
        </w:rPr>
        <w:t xml:space="preserve">2 </w:t>
      </w:r>
      <w:r>
        <w:rPr>
          <w:rFonts w:hint="eastAsia" w:asciiTheme="minorEastAsia" w:hAnsiTheme="minorEastAsia"/>
          <w:sz w:val="24"/>
        </w:rPr>
        <w:t>承包单位接到发包单位缺陷通知后48小时内无响应，且发包单位三次正式书面消缺通知后缺陷仍未解决。</w:t>
      </w:r>
    </w:p>
    <w:p>
      <w:pPr>
        <w:spacing w:line="360" w:lineRule="auto"/>
        <w:ind w:firstLine="480" w:firstLineChars="200"/>
        <w:contextualSpacing/>
        <w:rPr>
          <w:sz w:val="24"/>
        </w:rPr>
      </w:pPr>
      <w:r>
        <w:rPr>
          <w:rFonts w:hint="eastAsia" w:asciiTheme="minorEastAsia" w:hAnsiTheme="minorEastAsia"/>
          <w:sz w:val="24"/>
        </w:rPr>
        <w:t>10.</w:t>
      </w:r>
      <w:r>
        <w:rPr>
          <w:rFonts w:hint="eastAsia" w:asciiTheme="minorEastAsia" w:hAnsiTheme="minorEastAsia"/>
          <w:sz w:val="24"/>
          <w:lang w:val="en-US" w:eastAsia="zh-CN"/>
        </w:rPr>
        <w:t xml:space="preserve">3 </w:t>
      </w:r>
      <w:r>
        <w:rPr>
          <w:rFonts w:hint="eastAsia" w:asciiTheme="minorEastAsia" w:hAnsiTheme="minorEastAsia"/>
          <w:sz w:val="24"/>
        </w:rPr>
        <w:t>维保年度内设备全面检查及维护保养工作一次未开展。</w:t>
      </w:r>
    </w:p>
    <w:p>
      <w:pPr>
        <w:rPr>
          <w:rFonts w:hint="eastAsia"/>
          <w:lang w:val="en-US" w:eastAsia="zh-CN"/>
        </w:rPr>
      </w:pPr>
    </w:p>
    <w:p>
      <w:pPr>
        <w:tabs>
          <w:tab w:val="left" w:pos="1607"/>
        </w:tabs>
        <w:bidi w:val="0"/>
        <w:jc w:val="left"/>
        <w:rPr>
          <w:rFonts w:hint="eastAsia"/>
          <w:lang w:val="en-US" w:eastAsia="zh-CN"/>
        </w:rPr>
      </w:pPr>
      <w:r>
        <w:rPr>
          <w:rFonts w:hint="eastAsia"/>
          <w:lang w:val="en-US" w:eastAsia="zh-CN"/>
        </w:rPr>
        <w:tab/>
      </w:r>
    </w:p>
    <w:p>
      <w:pPr>
        <w:tabs>
          <w:tab w:val="left" w:pos="1607"/>
        </w:tabs>
        <w:bidi w:val="0"/>
        <w:jc w:val="left"/>
        <w:rPr>
          <w:rFonts w:hint="eastAsia"/>
          <w:lang w:val="en-US" w:eastAsia="zh-CN"/>
        </w:rPr>
      </w:pPr>
    </w:p>
    <w:p>
      <w:pPr>
        <w:tabs>
          <w:tab w:val="left" w:pos="1607"/>
        </w:tabs>
        <w:bidi w:val="0"/>
        <w:jc w:val="left"/>
        <w:rPr>
          <w:rFonts w:hint="eastAsia"/>
          <w:lang w:val="en-US" w:eastAsia="zh-CN"/>
        </w:rPr>
      </w:pPr>
    </w:p>
    <w:p>
      <w:pPr>
        <w:tabs>
          <w:tab w:val="left" w:pos="1607"/>
        </w:tabs>
        <w:bidi w:val="0"/>
        <w:jc w:val="left"/>
        <w:rPr>
          <w:rFonts w:hint="eastAsia"/>
          <w:lang w:val="en-US" w:eastAsia="zh-CN"/>
        </w:rPr>
      </w:pPr>
    </w:p>
    <w:p>
      <w:pPr>
        <w:tabs>
          <w:tab w:val="left" w:pos="1607"/>
        </w:tabs>
        <w:bidi w:val="0"/>
        <w:jc w:val="left"/>
        <w:rPr>
          <w:rFonts w:hint="eastAsia"/>
          <w:lang w:val="en-US" w:eastAsia="zh-CN"/>
        </w:rPr>
      </w:pPr>
      <w:r>
        <w:rPr>
          <w:rFonts w:hint="eastAsia"/>
          <w:lang w:val="en-US" w:eastAsia="zh-CN"/>
        </w:rPr>
        <w:t>附件一：</w:t>
      </w:r>
    </w:p>
    <w:p>
      <w:pPr>
        <w:tabs>
          <w:tab w:val="left" w:pos="1157"/>
        </w:tabs>
        <w:bidi w:val="0"/>
        <w:jc w:val="left"/>
        <w:rPr>
          <w:rFonts w:hint="default"/>
          <w:kern w:val="2"/>
          <w:sz w:val="21"/>
          <w:szCs w:val="24"/>
          <w:vertAlign w:val="baseline"/>
          <w:lang w:val="en-US" w:eastAsia="zh-CN" w:bidi="ar-SA"/>
        </w:rPr>
      </w:pPr>
      <w:r>
        <w:rPr>
          <w:rFonts w:hint="eastAsia"/>
          <w:kern w:val="2"/>
          <w:sz w:val="21"/>
          <w:szCs w:val="24"/>
          <w:lang w:val="en-US" w:eastAsia="zh-CN" w:bidi="ar-SA"/>
        </w:rPr>
        <w:tab/>
      </w:r>
    </w:p>
    <w:tbl>
      <w:tblPr>
        <w:tblStyle w:val="14"/>
        <w:tblW w:w="95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36"/>
        <w:gridCol w:w="835"/>
        <w:gridCol w:w="862"/>
        <w:gridCol w:w="749"/>
        <w:gridCol w:w="636"/>
        <w:gridCol w:w="489"/>
        <w:gridCol w:w="455"/>
        <w:gridCol w:w="480"/>
        <w:gridCol w:w="655"/>
        <w:gridCol w:w="2427"/>
        <w:gridCol w:w="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名称</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品牌</w:t>
            </w:r>
          </w:p>
        </w:tc>
        <w:tc>
          <w:tcPr>
            <w:tcW w:w="5161" w:type="dxa"/>
            <w:gridSpan w:val="8"/>
          </w:tcPr>
          <w:p>
            <w:pPr>
              <w:tabs>
                <w:tab w:val="left" w:pos="2294"/>
              </w:tabs>
              <w:bidi w:val="0"/>
              <w:jc w:val="left"/>
              <w:rPr>
                <w:rFonts w:hint="eastAsia"/>
                <w:kern w:val="2"/>
                <w:sz w:val="21"/>
                <w:szCs w:val="24"/>
                <w:vertAlign w:val="baseline"/>
                <w:lang w:val="en-US" w:eastAsia="zh-CN" w:bidi="ar-SA"/>
              </w:rPr>
            </w:pPr>
            <w:r>
              <w:rPr>
                <w:rFonts w:hint="eastAsia"/>
                <w:kern w:val="2"/>
                <w:sz w:val="21"/>
                <w:szCs w:val="24"/>
                <w:vertAlign w:val="baseline"/>
                <w:lang w:val="en-US" w:eastAsia="zh-CN" w:bidi="ar-SA"/>
              </w:rPr>
              <w:tab/>
            </w:r>
            <w:r>
              <w:rPr>
                <w:rFonts w:hint="eastAsia"/>
                <w:kern w:val="2"/>
                <w:sz w:val="21"/>
                <w:szCs w:val="24"/>
                <w:vertAlign w:val="baseline"/>
                <w:lang w:val="en-US" w:eastAsia="zh-CN" w:bidi="ar-SA"/>
              </w:rPr>
              <w:t>所含测点设备</w:t>
            </w:r>
          </w:p>
        </w:tc>
        <w:tc>
          <w:tcPr>
            <w:tcW w:w="2427" w:type="dxa"/>
          </w:tcPr>
          <w:p>
            <w:pPr>
              <w:tabs>
                <w:tab w:val="left" w:pos="2294"/>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附属设备</w:t>
            </w:r>
          </w:p>
        </w:tc>
        <w:tc>
          <w:tcPr>
            <w:tcW w:w="628" w:type="dxa"/>
          </w:tcPr>
          <w:p>
            <w:pPr>
              <w:tabs>
                <w:tab w:val="left" w:pos="2294"/>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余热锅炉出口废气监测设备</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赛默飞</w:t>
            </w:r>
          </w:p>
        </w:tc>
        <w:tc>
          <w:tcPr>
            <w:tcW w:w="83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NO分析仪</w:t>
            </w:r>
          </w:p>
        </w:tc>
        <w:tc>
          <w:tcPr>
            <w:tcW w:w="86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NO2分析仪</w:t>
            </w:r>
          </w:p>
        </w:tc>
        <w:tc>
          <w:tcPr>
            <w:tcW w:w="749"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O2分析仪</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颗粒物取样分析仪</w:t>
            </w:r>
          </w:p>
        </w:tc>
        <w:tc>
          <w:tcPr>
            <w:tcW w:w="489"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烟气流量</w:t>
            </w:r>
          </w:p>
        </w:tc>
        <w:tc>
          <w:tcPr>
            <w:tcW w:w="45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烟气温度</w:t>
            </w:r>
          </w:p>
        </w:tc>
        <w:tc>
          <w:tcPr>
            <w:tcW w:w="480"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烟气湿度</w:t>
            </w:r>
          </w:p>
        </w:tc>
        <w:tc>
          <w:tcPr>
            <w:tcW w:w="65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SO2分析仪</w:t>
            </w:r>
          </w:p>
        </w:tc>
        <w:tc>
          <w:tcPr>
            <w:tcW w:w="2427"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就地取样装置、测量仪表、预处理装置、通讯电缆及其他配套附属设施</w:t>
            </w:r>
          </w:p>
        </w:tc>
        <w:tc>
          <w:tcPr>
            <w:tcW w:w="628"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脱硝废气监测设备</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北京雪迪龙</w:t>
            </w:r>
          </w:p>
        </w:tc>
        <w:tc>
          <w:tcPr>
            <w:tcW w:w="83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NO、O2分析仪</w:t>
            </w:r>
          </w:p>
        </w:tc>
        <w:tc>
          <w:tcPr>
            <w:tcW w:w="86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氨逃逸测量仪表（LDS6）</w:t>
            </w:r>
          </w:p>
        </w:tc>
        <w:tc>
          <w:tcPr>
            <w:tcW w:w="749"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烟气预处理单元</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就地取样装置、及测点</w:t>
            </w:r>
          </w:p>
        </w:tc>
        <w:tc>
          <w:tcPr>
            <w:tcW w:w="489" w:type="dxa"/>
          </w:tcPr>
          <w:p>
            <w:pPr>
              <w:tabs>
                <w:tab w:val="left" w:pos="1157"/>
              </w:tabs>
              <w:bidi w:val="0"/>
              <w:jc w:val="left"/>
              <w:rPr>
                <w:rFonts w:hint="default"/>
                <w:kern w:val="2"/>
                <w:sz w:val="21"/>
                <w:szCs w:val="24"/>
                <w:vertAlign w:val="baseline"/>
                <w:lang w:val="en-US" w:eastAsia="zh-CN" w:bidi="ar-SA"/>
              </w:rPr>
            </w:pPr>
          </w:p>
        </w:tc>
        <w:tc>
          <w:tcPr>
            <w:tcW w:w="455" w:type="dxa"/>
          </w:tcPr>
          <w:p>
            <w:pPr>
              <w:tabs>
                <w:tab w:val="left" w:pos="1157"/>
              </w:tabs>
              <w:bidi w:val="0"/>
              <w:jc w:val="left"/>
              <w:rPr>
                <w:rFonts w:hint="default"/>
                <w:kern w:val="2"/>
                <w:sz w:val="21"/>
                <w:szCs w:val="24"/>
                <w:vertAlign w:val="baseline"/>
                <w:lang w:val="en-US" w:eastAsia="zh-CN" w:bidi="ar-SA"/>
              </w:rPr>
            </w:pPr>
          </w:p>
        </w:tc>
        <w:tc>
          <w:tcPr>
            <w:tcW w:w="480" w:type="dxa"/>
          </w:tcPr>
          <w:p>
            <w:pPr>
              <w:tabs>
                <w:tab w:val="left" w:pos="1157"/>
              </w:tabs>
              <w:bidi w:val="0"/>
              <w:jc w:val="left"/>
              <w:rPr>
                <w:rFonts w:hint="default"/>
                <w:kern w:val="2"/>
                <w:sz w:val="21"/>
                <w:szCs w:val="24"/>
                <w:vertAlign w:val="baseline"/>
                <w:lang w:val="en-US" w:eastAsia="zh-CN" w:bidi="ar-SA"/>
              </w:rPr>
            </w:pPr>
          </w:p>
        </w:tc>
        <w:tc>
          <w:tcPr>
            <w:tcW w:w="65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NOX转换器（U23）</w:t>
            </w:r>
          </w:p>
        </w:tc>
        <w:tc>
          <w:tcPr>
            <w:tcW w:w="2427"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就地取样装置、测量仪表、通讯电缆及其他配套附属设施</w:t>
            </w:r>
          </w:p>
        </w:tc>
        <w:tc>
          <w:tcPr>
            <w:tcW w:w="628" w:type="dxa"/>
          </w:tcPr>
          <w:p>
            <w:pPr>
              <w:tabs>
                <w:tab w:val="left" w:pos="1157"/>
              </w:tabs>
              <w:bidi w:val="0"/>
              <w:jc w:val="left"/>
              <w:rPr>
                <w:rFonts w:hint="eastAsia"/>
                <w:kern w:val="2"/>
                <w:sz w:val="21"/>
                <w:szCs w:val="24"/>
                <w:vertAlign w:val="baseline"/>
                <w:lang w:val="en-US" w:eastAsia="zh-CN" w:bidi="ar-SA"/>
              </w:rPr>
            </w:pPr>
            <w:r>
              <w:rPr>
                <w:rFonts w:hint="eastAsia"/>
                <w:kern w:val="2"/>
                <w:sz w:val="21"/>
                <w:szCs w:val="24"/>
                <w:vertAlign w:val="baseline"/>
                <w:lang w:val="en-US" w:eastAsia="zh-CN" w:bidi="ar-SA"/>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启动锅炉废气监测设备</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北京雪迪龙</w:t>
            </w:r>
          </w:p>
        </w:tc>
        <w:tc>
          <w:tcPr>
            <w:tcW w:w="83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NO、O2分析仪</w:t>
            </w:r>
          </w:p>
        </w:tc>
        <w:tc>
          <w:tcPr>
            <w:tcW w:w="862" w:type="dxa"/>
          </w:tcPr>
          <w:p>
            <w:pPr>
              <w:tabs>
                <w:tab w:val="left" w:pos="1157"/>
              </w:tabs>
              <w:bidi w:val="0"/>
              <w:jc w:val="left"/>
              <w:rPr>
                <w:rFonts w:hint="default"/>
                <w:kern w:val="2"/>
                <w:sz w:val="21"/>
                <w:szCs w:val="24"/>
                <w:vertAlign w:val="baseline"/>
                <w:lang w:val="en-US" w:eastAsia="zh-CN" w:bidi="ar-SA"/>
              </w:rPr>
            </w:pPr>
          </w:p>
        </w:tc>
        <w:tc>
          <w:tcPr>
            <w:tcW w:w="749"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烟气预处理单元</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就地取样装置、及测点</w:t>
            </w:r>
          </w:p>
        </w:tc>
        <w:tc>
          <w:tcPr>
            <w:tcW w:w="489"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烟气流量</w:t>
            </w:r>
          </w:p>
        </w:tc>
        <w:tc>
          <w:tcPr>
            <w:tcW w:w="45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烟气温度</w:t>
            </w:r>
          </w:p>
        </w:tc>
        <w:tc>
          <w:tcPr>
            <w:tcW w:w="480"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烟气湿度</w:t>
            </w:r>
          </w:p>
        </w:tc>
        <w:tc>
          <w:tcPr>
            <w:tcW w:w="65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NOX转换器(U23)</w:t>
            </w:r>
          </w:p>
        </w:tc>
        <w:tc>
          <w:tcPr>
            <w:tcW w:w="2427"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就地取样装置、测量仪表、通讯电缆及其他配套附属设施</w:t>
            </w:r>
          </w:p>
        </w:tc>
        <w:tc>
          <w:tcPr>
            <w:tcW w:w="628" w:type="dxa"/>
          </w:tcPr>
          <w:p>
            <w:pPr>
              <w:tabs>
                <w:tab w:val="left" w:pos="1157"/>
              </w:tabs>
              <w:bidi w:val="0"/>
              <w:jc w:val="left"/>
              <w:rPr>
                <w:rFonts w:hint="eastAsia"/>
                <w:kern w:val="2"/>
                <w:sz w:val="21"/>
                <w:szCs w:val="24"/>
                <w:vertAlign w:val="baseline"/>
                <w:lang w:val="en-US" w:eastAsia="zh-CN" w:bidi="ar-SA"/>
              </w:rPr>
            </w:pPr>
            <w:r>
              <w:rPr>
                <w:rFonts w:hint="eastAsia"/>
                <w:kern w:val="2"/>
                <w:sz w:val="21"/>
                <w:szCs w:val="24"/>
                <w:vertAlign w:val="baseline"/>
                <w:lang w:val="en-US" w:eastAsia="zh-CN" w:bidi="ar-SA"/>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外传环保工业电视视频设备</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海康威视</w:t>
            </w:r>
          </w:p>
        </w:tc>
        <w:tc>
          <w:tcPr>
            <w:tcW w:w="835"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烟囱排放口监控设备</w:t>
            </w:r>
          </w:p>
        </w:tc>
        <w:tc>
          <w:tcPr>
            <w:tcW w:w="86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就地平台采样口监控设备</w:t>
            </w:r>
          </w:p>
        </w:tc>
        <w:tc>
          <w:tcPr>
            <w:tcW w:w="749"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治理设施监视设备</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烟囱排放口设备小屋工业电视</w:t>
            </w:r>
          </w:p>
        </w:tc>
        <w:tc>
          <w:tcPr>
            <w:tcW w:w="489" w:type="dxa"/>
          </w:tcPr>
          <w:p>
            <w:pPr>
              <w:tabs>
                <w:tab w:val="left" w:pos="1157"/>
              </w:tabs>
              <w:bidi w:val="0"/>
              <w:jc w:val="left"/>
              <w:rPr>
                <w:rFonts w:hint="eastAsia"/>
                <w:kern w:val="2"/>
                <w:sz w:val="21"/>
                <w:szCs w:val="24"/>
                <w:vertAlign w:val="baseline"/>
                <w:lang w:val="en-US" w:eastAsia="zh-CN" w:bidi="ar-SA"/>
              </w:rPr>
            </w:pPr>
            <w:r>
              <w:rPr>
                <w:rFonts w:hint="eastAsia"/>
                <w:kern w:val="2"/>
                <w:sz w:val="21"/>
                <w:szCs w:val="24"/>
                <w:vertAlign w:val="baseline"/>
                <w:lang w:val="en-US" w:eastAsia="zh-CN" w:bidi="ar-SA"/>
              </w:rPr>
              <w:t>硬盘录像机</w:t>
            </w:r>
          </w:p>
        </w:tc>
        <w:tc>
          <w:tcPr>
            <w:tcW w:w="455" w:type="dxa"/>
          </w:tcPr>
          <w:p>
            <w:pPr>
              <w:tabs>
                <w:tab w:val="left" w:pos="1157"/>
              </w:tabs>
              <w:bidi w:val="0"/>
              <w:jc w:val="left"/>
              <w:rPr>
                <w:rFonts w:hint="eastAsia"/>
                <w:kern w:val="2"/>
                <w:sz w:val="21"/>
                <w:szCs w:val="24"/>
                <w:vertAlign w:val="baseline"/>
                <w:lang w:val="en-US" w:eastAsia="zh-CN" w:bidi="ar-SA"/>
              </w:rPr>
            </w:pPr>
          </w:p>
        </w:tc>
        <w:tc>
          <w:tcPr>
            <w:tcW w:w="480" w:type="dxa"/>
          </w:tcPr>
          <w:p>
            <w:pPr>
              <w:tabs>
                <w:tab w:val="left" w:pos="1157"/>
              </w:tabs>
              <w:bidi w:val="0"/>
              <w:jc w:val="left"/>
              <w:rPr>
                <w:rFonts w:hint="eastAsia"/>
                <w:kern w:val="2"/>
                <w:sz w:val="21"/>
                <w:szCs w:val="24"/>
                <w:vertAlign w:val="baseline"/>
                <w:lang w:val="en-US" w:eastAsia="zh-CN" w:bidi="ar-SA"/>
              </w:rPr>
            </w:pPr>
          </w:p>
        </w:tc>
        <w:tc>
          <w:tcPr>
            <w:tcW w:w="655" w:type="dxa"/>
          </w:tcPr>
          <w:p>
            <w:pPr>
              <w:tabs>
                <w:tab w:val="left" w:pos="1157"/>
              </w:tabs>
              <w:bidi w:val="0"/>
              <w:jc w:val="left"/>
              <w:rPr>
                <w:rFonts w:hint="eastAsia"/>
                <w:kern w:val="2"/>
                <w:sz w:val="21"/>
                <w:szCs w:val="24"/>
                <w:vertAlign w:val="baseline"/>
                <w:lang w:val="en-US" w:eastAsia="zh-CN" w:bidi="ar-SA"/>
              </w:rPr>
            </w:pPr>
          </w:p>
        </w:tc>
        <w:tc>
          <w:tcPr>
            <w:tcW w:w="2427"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通讯电缆及其他配套设施</w:t>
            </w:r>
          </w:p>
        </w:tc>
        <w:tc>
          <w:tcPr>
            <w:tcW w:w="628"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废气监测数据上传装置</w:t>
            </w:r>
          </w:p>
        </w:tc>
        <w:tc>
          <w:tcPr>
            <w:tcW w:w="636"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博控</w:t>
            </w:r>
          </w:p>
        </w:tc>
        <w:tc>
          <w:tcPr>
            <w:tcW w:w="835" w:type="dxa"/>
          </w:tcPr>
          <w:p>
            <w:pPr>
              <w:tabs>
                <w:tab w:val="left" w:pos="1157"/>
              </w:tabs>
              <w:bidi w:val="0"/>
              <w:jc w:val="left"/>
              <w:rPr>
                <w:rFonts w:hint="eastAsia"/>
                <w:kern w:val="2"/>
                <w:sz w:val="21"/>
                <w:szCs w:val="24"/>
                <w:vertAlign w:val="baseline"/>
                <w:lang w:val="en-US" w:eastAsia="zh-CN" w:bidi="ar-SA"/>
              </w:rPr>
            </w:pPr>
          </w:p>
        </w:tc>
        <w:tc>
          <w:tcPr>
            <w:tcW w:w="862" w:type="dxa"/>
          </w:tcPr>
          <w:p>
            <w:pPr>
              <w:tabs>
                <w:tab w:val="left" w:pos="1157"/>
              </w:tabs>
              <w:bidi w:val="0"/>
              <w:jc w:val="left"/>
              <w:rPr>
                <w:rFonts w:hint="eastAsia"/>
                <w:kern w:val="2"/>
                <w:sz w:val="21"/>
                <w:szCs w:val="24"/>
                <w:vertAlign w:val="baseline"/>
                <w:lang w:val="en-US" w:eastAsia="zh-CN" w:bidi="ar-SA"/>
              </w:rPr>
            </w:pPr>
          </w:p>
        </w:tc>
        <w:tc>
          <w:tcPr>
            <w:tcW w:w="749" w:type="dxa"/>
          </w:tcPr>
          <w:p>
            <w:pPr>
              <w:tabs>
                <w:tab w:val="left" w:pos="1157"/>
              </w:tabs>
              <w:bidi w:val="0"/>
              <w:jc w:val="left"/>
              <w:rPr>
                <w:rFonts w:hint="eastAsia"/>
                <w:kern w:val="2"/>
                <w:sz w:val="21"/>
                <w:szCs w:val="24"/>
                <w:vertAlign w:val="baseline"/>
                <w:lang w:val="en-US" w:eastAsia="zh-CN" w:bidi="ar-SA"/>
              </w:rPr>
            </w:pPr>
          </w:p>
        </w:tc>
        <w:tc>
          <w:tcPr>
            <w:tcW w:w="636" w:type="dxa"/>
          </w:tcPr>
          <w:p>
            <w:pPr>
              <w:tabs>
                <w:tab w:val="left" w:pos="1157"/>
              </w:tabs>
              <w:bidi w:val="0"/>
              <w:jc w:val="left"/>
              <w:rPr>
                <w:rFonts w:hint="eastAsia"/>
                <w:kern w:val="2"/>
                <w:sz w:val="21"/>
                <w:szCs w:val="24"/>
                <w:vertAlign w:val="baseline"/>
                <w:lang w:val="en-US" w:eastAsia="zh-CN" w:bidi="ar-SA"/>
              </w:rPr>
            </w:pPr>
          </w:p>
        </w:tc>
        <w:tc>
          <w:tcPr>
            <w:tcW w:w="489" w:type="dxa"/>
          </w:tcPr>
          <w:p>
            <w:pPr>
              <w:tabs>
                <w:tab w:val="left" w:pos="1157"/>
              </w:tabs>
              <w:bidi w:val="0"/>
              <w:jc w:val="left"/>
              <w:rPr>
                <w:rFonts w:hint="eastAsia"/>
                <w:kern w:val="2"/>
                <w:sz w:val="21"/>
                <w:szCs w:val="24"/>
                <w:vertAlign w:val="baseline"/>
                <w:lang w:val="en-US" w:eastAsia="zh-CN" w:bidi="ar-SA"/>
              </w:rPr>
            </w:pPr>
          </w:p>
        </w:tc>
        <w:tc>
          <w:tcPr>
            <w:tcW w:w="455" w:type="dxa"/>
          </w:tcPr>
          <w:p>
            <w:pPr>
              <w:tabs>
                <w:tab w:val="left" w:pos="1157"/>
              </w:tabs>
              <w:bidi w:val="0"/>
              <w:jc w:val="left"/>
              <w:rPr>
                <w:rFonts w:hint="eastAsia"/>
                <w:kern w:val="2"/>
                <w:sz w:val="21"/>
                <w:szCs w:val="24"/>
                <w:vertAlign w:val="baseline"/>
                <w:lang w:val="en-US" w:eastAsia="zh-CN" w:bidi="ar-SA"/>
              </w:rPr>
            </w:pPr>
          </w:p>
        </w:tc>
        <w:tc>
          <w:tcPr>
            <w:tcW w:w="480" w:type="dxa"/>
          </w:tcPr>
          <w:p>
            <w:pPr>
              <w:tabs>
                <w:tab w:val="left" w:pos="1157"/>
              </w:tabs>
              <w:bidi w:val="0"/>
              <w:jc w:val="left"/>
              <w:rPr>
                <w:rFonts w:hint="eastAsia"/>
                <w:kern w:val="2"/>
                <w:sz w:val="21"/>
                <w:szCs w:val="24"/>
                <w:vertAlign w:val="baseline"/>
                <w:lang w:val="en-US" w:eastAsia="zh-CN" w:bidi="ar-SA"/>
              </w:rPr>
            </w:pPr>
          </w:p>
        </w:tc>
        <w:tc>
          <w:tcPr>
            <w:tcW w:w="655" w:type="dxa"/>
          </w:tcPr>
          <w:p>
            <w:pPr>
              <w:tabs>
                <w:tab w:val="left" w:pos="1157"/>
              </w:tabs>
              <w:bidi w:val="0"/>
              <w:jc w:val="left"/>
              <w:rPr>
                <w:rFonts w:hint="eastAsia"/>
                <w:kern w:val="2"/>
                <w:sz w:val="21"/>
                <w:szCs w:val="24"/>
                <w:vertAlign w:val="baseline"/>
                <w:lang w:val="en-US" w:eastAsia="zh-CN" w:bidi="ar-SA"/>
              </w:rPr>
            </w:pPr>
          </w:p>
        </w:tc>
        <w:tc>
          <w:tcPr>
            <w:tcW w:w="2427"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通讯电缆及其他配套设施</w:t>
            </w:r>
          </w:p>
        </w:tc>
        <w:tc>
          <w:tcPr>
            <w:tcW w:w="628" w:type="dxa"/>
          </w:tcPr>
          <w:p>
            <w:pPr>
              <w:tabs>
                <w:tab w:val="left" w:pos="1157"/>
              </w:tabs>
              <w:bidi w:val="0"/>
              <w:jc w:val="left"/>
              <w:rPr>
                <w:rFonts w:hint="default"/>
                <w:kern w:val="2"/>
                <w:sz w:val="21"/>
                <w:szCs w:val="24"/>
                <w:vertAlign w:val="baseline"/>
                <w:lang w:val="en-US" w:eastAsia="zh-CN" w:bidi="ar-SA"/>
              </w:rPr>
            </w:pPr>
            <w:r>
              <w:rPr>
                <w:rFonts w:hint="eastAsia"/>
                <w:kern w:val="2"/>
                <w:sz w:val="21"/>
                <w:szCs w:val="24"/>
                <w:vertAlign w:val="baseline"/>
                <w:lang w:val="en-US" w:eastAsia="zh-CN" w:bidi="ar-SA"/>
              </w:rPr>
              <w:t>共3套（一套上传环保）</w:t>
            </w:r>
          </w:p>
        </w:tc>
      </w:tr>
    </w:tbl>
    <w:p>
      <w:pPr>
        <w:tabs>
          <w:tab w:val="left" w:pos="1157"/>
        </w:tabs>
        <w:bidi w:val="0"/>
        <w:jc w:val="left"/>
        <w:rPr>
          <w:rFonts w:hint="default"/>
          <w:kern w:val="2"/>
          <w:sz w:val="18"/>
          <w:szCs w:val="18"/>
          <w:lang w:val="en-US" w:eastAsia="zh-CN" w:bidi="ar-SA"/>
        </w:rPr>
      </w:pPr>
      <w:r>
        <w:rPr>
          <w:rFonts w:hint="eastAsia"/>
          <w:kern w:val="2"/>
          <w:sz w:val="18"/>
          <w:szCs w:val="18"/>
          <w:lang w:val="en-US" w:eastAsia="zh-CN" w:bidi="ar-SA"/>
        </w:rPr>
        <w:t>备注：未列之处包含不限于此。</w:t>
      </w:r>
    </w:p>
    <w:sectPr>
      <w:footerReference r:id="rId6" w:type="default"/>
      <w:pgSz w:w="11906" w:h="16838"/>
      <w:pgMar w:top="1134" w:right="1134" w:bottom="1134" w:left="1134"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6"/>
      </w:rPr>
    </w:pPr>
  </w:p>
  <w:p>
    <w:pPr>
      <w:pStyle w:val="8"/>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6"/>
      </w:rPr>
    </w:pPr>
    <w:r>
      <w:fldChar w:fldCharType="begin"/>
    </w:r>
    <w:r>
      <w:rPr>
        <w:rStyle w:val="16"/>
      </w:rPr>
      <w:instrText xml:space="preserve">PAGE  </w:instrText>
    </w:r>
    <w:r>
      <w:fldChar w:fldCharType="separate"/>
    </w:r>
    <w:r>
      <w:rPr>
        <w:rStyle w:val="16"/>
      </w:rPr>
      <w:t>8</w:t>
    </w:r>
    <w: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6"/>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bUc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1DieMWB37++eP86/H88J0s&#10;sz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j4ptRyQEAAJkDAAAOAAAAAAAAAAEAIAAAAB4BAABkcnMvZTJvRG9j&#10;LnhtbFBLBQYAAAAABgAGAFkBAABZBQAAAAA=&#10;">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p>
    <w:pPr>
      <w:pStyle w:val="8"/>
      <w:ind w:right="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both"/>
    </w:pPr>
    <w:r>
      <w:rPr>
        <w:rFonts w:hint="eastAsia" w:ascii="宋体" w:hAnsi="宋体"/>
        <w:lang w:val="en-US" w:eastAsia="zh-CN"/>
      </w:rPr>
      <w:t>2023-2026年度</w:t>
    </w:r>
    <w:r>
      <w:rPr>
        <w:rFonts w:hint="eastAsia" w:ascii="宋体" w:hAnsi="宋体"/>
        <w:lang w:val="en-GB"/>
      </w:rPr>
      <w:t>港桥园区“上大压小”热电联产项目</w:t>
    </w:r>
    <w:r>
      <w:rPr>
        <w:rFonts w:hint="eastAsia" w:ascii="宋体" w:hAnsi="宋体"/>
        <w:lang w:val="en-GB" w:eastAsia="zh-CN"/>
      </w:rPr>
      <w:t>固定污染源排放烟气连续监测系统</w:t>
    </w:r>
    <w:r>
      <w:rPr>
        <w:rFonts w:hint="eastAsia" w:ascii="宋体" w:hAnsi="宋体"/>
        <w:lang w:val="en-US" w:eastAsia="zh-CN"/>
      </w:rPr>
      <w:t>日常外委维护技术规范书</w:t>
    </w:r>
    <w:r>
      <w:rPr>
        <w:rFonts w:hint="eastAsia" w:ascii="宋体" w:hAnsi="宋体"/>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525246"/>
    <w:multiLevelType w:val="singleLevel"/>
    <w:tmpl w:val="8B525246"/>
    <w:lvl w:ilvl="0" w:tentative="0">
      <w:start w:val="1"/>
      <w:numFmt w:val="decimal"/>
      <w:suff w:val="nothing"/>
      <w:lvlText w:val="%1．"/>
      <w:lvlJc w:val="left"/>
      <w:pPr>
        <w:ind w:left="0" w:firstLine="400"/>
      </w:pPr>
      <w:rPr>
        <w:rFonts w:hint="default"/>
      </w:rPr>
    </w:lvl>
  </w:abstractNum>
  <w:abstractNum w:abstractNumId="1">
    <w:nsid w:val="AA4C0724"/>
    <w:multiLevelType w:val="singleLevel"/>
    <w:tmpl w:val="AA4C0724"/>
    <w:lvl w:ilvl="0" w:tentative="0">
      <w:start w:val="1"/>
      <w:numFmt w:val="decimal"/>
      <w:suff w:val="nothing"/>
      <w:lvlText w:val="%1．"/>
      <w:lvlJc w:val="left"/>
      <w:pPr>
        <w:ind w:left="0" w:firstLine="400"/>
      </w:pPr>
      <w:rPr>
        <w:rFonts w:hint="default"/>
      </w:rPr>
    </w:lvl>
  </w:abstractNum>
  <w:abstractNum w:abstractNumId="2">
    <w:nsid w:val="AAAC1CC1"/>
    <w:multiLevelType w:val="singleLevel"/>
    <w:tmpl w:val="AAAC1CC1"/>
    <w:lvl w:ilvl="0" w:tentative="0">
      <w:start w:val="1"/>
      <w:numFmt w:val="decimal"/>
      <w:lvlText w:val="(%1)"/>
      <w:lvlJc w:val="left"/>
      <w:pPr>
        <w:ind w:left="425" w:hanging="425"/>
      </w:pPr>
      <w:rPr>
        <w:rFonts w:hint="default"/>
      </w:rPr>
    </w:lvl>
  </w:abstractNum>
  <w:abstractNum w:abstractNumId="3">
    <w:nsid w:val="AEB79323"/>
    <w:multiLevelType w:val="singleLevel"/>
    <w:tmpl w:val="AEB79323"/>
    <w:lvl w:ilvl="0" w:tentative="0">
      <w:start w:val="1"/>
      <w:numFmt w:val="decimal"/>
      <w:suff w:val="nothing"/>
      <w:lvlText w:val="%1．"/>
      <w:lvlJc w:val="left"/>
      <w:pPr>
        <w:ind w:left="0" w:firstLine="400"/>
      </w:pPr>
      <w:rPr>
        <w:rFonts w:hint="default"/>
      </w:rPr>
    </w:lvl>
  </w:abstractNum>
  <w:abstractNum w:abstractNumId="4">
    <w:nsid w:val="C715AF7E"/>
    <w:multiLevelType w:val="singleLevel"/>
    <w:tmpl w:val="C715AF7E"/>
    <w:lvl w:ilvl="0" w:tentative="0">
      <w:start w:val="1"/>
      <w:numFmt w:val="chineseCounting"/>
      <w:suff w:val="nothing"/>
      <w:lvlText w:val="%1、"/>
      <w:lvlJc w:val="left"/>
      <w:pPr>
        <w:ind w:left="0" w:firstLine="420"/>
      </w:pPr>
      <w:rPr>
        <w:rFonts w:hint="eastAsia"/>
      </w:rPr>
    </w:lvl>
  </w:abstractNum>
  <w:abstractNum w:abstractNumId="5">
    <w:nsid w:val="CB88E37C"/>
    <w:multiLevelType w:val="singleLevel"/>
    <w:tmpl w:val="CB88E37C"/>
    <w:lvl w:ilvl="0" w:tentative="0">
      <w:start w:val="1"/>
      <w:numFmt w:val="decimal"/>
      <w:lvlText w:val="(%1)"/>
      <w:lvlJc w:val="left"/>
      <w:pPr>
        <w:ind w:left="425" w:hanging="425"/>
      </w:pPr>
      <w:rPr>
        <w:rFonts w:hint="default"/>
      </w:rPr>
    </w:lvl>
  </w:abstractNum>
  <w:abstractNum w:abstractNumId="6">
    <w:nsid w:val="CBF7CBE3"/>
    <w:multiLevelType w:val="multilevel"/>
    <w:tmpl w:val="CBF7CBE3"/>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EDF3FB66"/>
    <w:multiLevelType w:val="singleLevel"/>
    <w:tmpl w:val="EDF3FB66"/>
    <w:lvl w:ilvl="0" w:tentative="0">
      <w:start w:val="1"/>
      <w:numFmt w:val="decimal"/>
      <w:suff w:val="nothing"/>
      <w:lvlText w:val="%1．"/>
      <w:lvlJc w:val="left"/>
      <w:pPr>
        <w:ind w:left="0" w:firstLine="400"/>
      </w:pPr>
      <w:rPr>
        <w:rFonts w:hint="default"/>
      </w:rPr>
    </w:lvl>
  </w:abstractNum>
  <w:abstractNum w:abstractNumId="8">
    <w:nsid w:val="49FB0C4F"/>
    <w:multiLevelType w:val="singleLevel"/>
    <w:tmpl w:val="49FB0C4F"/>
    <w:lvl w:ilvl="0" w:tentative="0">
      <w:start w:val="1"/>
      <w:numFmt w:val="decimal"/>
      <w:lvlText w:val="%1."/>
      <w:lvlJc w:val="left"/>
      <w:pPr>
        <w:ind w:left="425" w:hanging="425"/>
      </w:pPr>
      <w:rPr>
        <w:rFonts w:hint="default"/>
      </w:rPr>
    </w:lvl>
  </w:abstractNum>
  <w:abstractNum w:abstractNumId="9">
    <w:nsid w:val="5141731C"/>
    <w:multiLevelType w:val="singleLevel"/>
    <w:tmpl w:val="5141731C"/>
    <w:lvl w:ilvl="0" w:tentative="0">
      <w:start w:val="1"/>
      <w:numFmt w:val="decimal"/>
      <w:suff w:val="nothing"/>
      <w:lvlText w:val="%1．"/>
      <w:lvlJc w:val="left"/>
      <w:pPr>
        <w:ind w:left="0" w:firstLine="400"/>
      </w:pPr>
      <w:rPr>
        <w:rFonts w:hint="default"/>
      </w:rPr>
    </w:lvl>
  </w:abstractNum>
  <w:abstractNum w:abstractNumId="10">
    <w:nsid w:val="58B82092"/>
    <w:multiLevelType w:val="singleLevel"/>
    <w:tmpl w:val="58B82092"/>
    <w:lvl w:ilvl="0" w:tentative="0">
      <w:start w:val="1"/>
      <w:numFmt w:val="decimal"/>
      <w:suff w:val="nothing"/>
      <w:lvlText w:val="%1．"/>
      <w:lvlJc w:val="left"/>
      <w:pPr>
        <w:tabs>
          <w:tab w:val="left" w:pos="0"/>
        </w:tabs>
        <w:ind w:left="0" w:firstLine="624"/>
      </w:pPr>
      <w:rPr>
        <w:rFonts w:hint="default"/>
      </w:rPr>
    </w:lvl>
  </w:abstractNum>
  <w:num w:numId="1">
    <w:abstractNumId w:val="4"/>
  </w:num>
  <w:num w:numId="2">
    <w:abstractNumId w:val="3"/>
  </w:num>
  <w:num w:numId="3">
    <w:abstractNumId w:val="1"/>
  </w:num>
  <w:num w:numId="4">
    <w:abstractNumId w:val="9"/>
  </w:num>
  <w:num w:numId="5">
    <w:abstractNumId w:val="8"/>
  </w:num>
  <w:num w:numId="6">
    <w:abstractNumId w:val="10"/>
  </w:num>
  <w:num w:numId="7">
    <w:abstractNumId w:val="7"/>
  </w:num>
  <w:num w:numId="8">
    <w:abstractNumId w:val="2"/>
  </w:num>
  <w:num w:numId="9">
    <w:abstractNumId w:val="5"/>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hODc4ZjdjMWY4NzE1OWY2YjgzNGFlYWMwZmIyNmIifQ=="/>
  </w:docVars>
  <w:rsids>
    <w:rsidRoot w:val="00FB1965"/>
    <w:rsid w:val="00615648"/>
    <w:rsid w:val="007F0340"/>
    <w:rsid w:val="00855BBD"/>
    <w:rsid w:val="008A5FCC"/>
    <w:rsid w:val="00A7376F"/>
    <w:rsid w:val="00C364CE"/>
    <w:rsid w:val="00CD136E"/>
    <w:rsid w:val="00D530F7"/>
    <w:rsid w:val="00FA2CB1"/>
    <w:rsid w:val="00FB1965"/>
    <w:rsid w:val="014D18A8"/>
    <w:rsid w:val="01D64F05"/>
    <w:rsid w:val="01E46F4D"/>
    <w:rsid w:val="02AD23BE"/>
    <w:rsid w:val="02C90F51"/>
    <w:rsid w:val="02EF58C0"/>
    <w:rsid w:val="03451312"/>
    <w:rsid w:val="036437D4"/>
    <w:rsid w:val="04724A09"/>
    <w:rsid w:val="06051A5F"/>
    <w:rsid w:val="063547C8"/>
    <w:rsid w:val="09040E58"/>
    <w:rsid w:val="09614557"/>
    <w:rsid w:val="096E34FB"/>
    <w:rsid w:val="09FD61E0"/>
    <w:rsid w:val="0A544133"/>
    <w:rsid w:val="0BAB1E8A"/>
    <w:rsid w:val="0C2F1ADE"/>
    <w:rsid w:val="0C86410A"/>
    <w:rsid w:val="0CA76BAD"/>
    <w:rsid w:val="0D1B69E0"/>
    <w:rsid w:val="0FAC0BDF"/>
    <w:rsid w:val="101E2D3F"/>
    <w:rsid w:val="1034326F"/>
    <w:rsid w:val="105B0201"/>
    <w:rsid w:val="10873020"/>
    <w:rsid w:val="10D23890"/>
    <w:rsid w:val="10E86B7B"/>
    <w:rsid w:val="11A23AA0"/>
    <w:rsid w:val="122359E3"/>
    <w:rsid w:val="123B33BC"/>
    <w:rsid w:val="129E4FE1"/>
    <w:rsid w:val="12C44EDB"/>
    <w:rsid w:val="13845892"/>
    <w:rsid w:val="13C80B88"/>
    <w:rsid w:val="140A1394"/>
    <w:rsid w:val="14771A88"/>
    <w:rsid w:val="147B69EE"/>
    <w:rsid w:val="154C3657"/>
    <w:rsid w:val="155724AC"/>
    <w:rsid w:val="158B58CB"/>
    <w:rsid w:val="16944476"/>
    <w:rsid w:val="16F330F7"/>
    <w:rsid w:val="171575C2"/>
    <w:rsid w:val="17837EAC"/>
    <w:rsid w:val="17F75B5C"/>
    <w:rsid w:val="17FF7AD0"/>
    <w:rsid w:val="186A03CB"/>
    <w:rsid w:val="187412C0"/>
    <w:rsid w:val="189C112A"/>
    <w:rsid w:val="19232A3E"/>
    <w:rsid w:val="19920816"/>
    <w:rsid w:val="19C020C5"/>
    <w:rsid w:val="19E11D91"/>
    <w:rsid w:val="19F93DAD"/>
    <w:rsid w:val="1A266E3F"/>
    <w:rsid w:val="1A747F52"/>
    <w:rsid w:val="1AA04259"/>
    <w:rsid w:val="1B703A49"/>
    <w:rsid w:val="1BD06274"/>
    <w:rsid w:val="1C3A3370"/>
    <w:rsid w:val="1C4849EE"/>
    <w:rsid w:val="1CDF0DF9"/>
    <w:rsid w:val="1DC23D6A"/>
    <w:rsid w:val="1E2D188C"/>
    <w:rsid w:val="1E4A16DC"/>
    <w:rsid w:val="1F243B04"/>
    <w:rsid w:val="1F2712B0"/>
    <w:rsid w:val="1F395DCE"/>
    <w:rsid w:val="1F6D0EF3"/>
    <w:rsid w:val="21AE45FE"/>
    <w:rsid w:val="21E472D3"/>
    <w:rsid w:val="22395E1B"/>
    <w:rsid w:val="22726159"/>
    <w:rsid w:val="22896A7B"/>
    <w:rsid w:val="228B54A0"/>
    <w:rsid w:val="23075D02"/>
    <w:rsid w:val="230C50F5"/>
    <w:rsid w:val="237E49F4"/>
    <w:rsid w:val="23C953F3"/>
    <w:rsid w:val="248E6531"/>
    <w:rsid w:val="251273A3"/>
    <w:rsid w:val="25A91F14"/>
    <w:rsid w:val="2622658C"/>
    <w:rsid w:val="27955A82"/>
    <w:rsid w:val="27E07DCE"/>
    <w:rsid w:val="2829089D"/>
    <w:rsid w:val="28C526AF"/>
    <w:rsid w:val="2A900868"/>
    <w:rsid w:val="2ABD2AC4"/>
    <w:rsid w:val="2AD76905"/>
    <w:rsid w:val="2BA93180"/>
    <w:rsid w:val="2C7E213C"/>
    <w:rsid w:val="2D1454C7"/>
    <w:rsid w:val="2D425AA2"/>
    <w:rsid w:val="2D441F27"/>
    <w:rsid w:val="2E233637"/>
    <w:rsid w:val="2E8D5AD8"/>
    <w:rsid w:val="2F9C6CAE"/>
    <w:rsid w:val="2FAA3EA3"/>
    <w:rsid w:val="30BB05F6"/>
    <w:rsid w:val="313B3A7E"/>
    <w:rsid w:val="31661FEA"/>
    <w:rsid w:val="31A13BFB"/>
    <w:rsid w:val="32B5738D"/>
    <w:rsid w:val="32C120A1"/>
    <w:rsid w:val="32FE75D7"/>
    <w:rsid w:val="33AA4950"/>
    <w:rsid w:val="34035897"/>
    <w:rsid w:val="341069F1"/>
    <w:rsid w:val="3422461C"/>
    <w:rsid w:val="3452776C"/>
    <w:rsid w:val="34AD36B2"/>
    <w:rsid w:val="35332DC0"/>
    <w:rsid w:val="35562AA4"/>
    <w:rsid w:val="356C429F"/>
    <w:rsid w:val="357003CB"/>
    <w:rsid w:val="35F20C97"/>
    <w:rsid w:val="368A71F8"/>
    <w:rsid w:val="37133BC2"/>
    <w:rsid w:val="37567CCA"/>
    <w:rsid w:val="37E65A39"/>
    <w:rsid w:val="37F033F2"/>
    <w:rsid w:val="382E4CED"/>
    <w:rsid w:val="38814B04"/>
    <w:rsid w:val="38CC48CB"/>
    <w:rsid w:val="390D7155"/>
    <w:rsid w:val="39A87F23"/>
    <w:rsid w:val="3A9E5ED2"/>
    <w:rsid w:val="3C971822"/>
    <w:rsid w:val="3D235515"/>
    <w:rsid w:val="3D28187A"/>
    <w:rsid w:val="3D6D5D8A"/>
    <w:rsid w:val="3D9006B8"/>
    <w:rsid w:val="3E3B796C"/>
    <w:rsid w:val="3E5A7375"/>
    <w:rsid w:val="3E7D4C9C"/>
    <w:rsid w:val="3F730181"/>
    <w:rsid w:val="41545DBD"/>
    <w:rsid w:val="416E50D3"/>
    <w:rsid w:val="437C2466"/>
    <w:rsid w:val="43890C04"/>
    <w:rsid w:val="438C37C5"/>
    <w:rsid w:val="43AA0EDA"/>
    <w:rsid w:val="447F1A4E"/>
    <w:rsid w:val="448D490C"/>
    <w:rsid w:val="44EF4FAC"/>
    <w:rsid w:val="450B0928"/>
    <w:rsid w:val="452C2C61"/>
    <w:rsid w:val="456B4ADC"/>
    <w:rsid w:val="45D0757A"/>
    <w:rsid w:val="46642437"/>
    <w:rsid w:val="466E55B7"/>
    <w:rsid w:val="470D2D3D"/>
    <w:rsid w:val="47672E0F"/>
    <w:rsid w:val="47FA7B1F"/>
    <w:rsid w:val="47FD65FE"/>
    <w:rsid w:val="4A5F4A7F"/>
    <w:rsid w:val="4B100F50"/>
    <w:rsid w:val="4B842010"/>
    <w:rsid w:val="4B8D2E86"/>
    <w:rsid w:val="4C523EE9"/>
    <w:rsid w:val="4D3E28A0"/>
    <w:rsid w:val="4E23618A"/>
    <w:rsid w:val="4E2D4E9B"/>
    <w:rsid w:val="4F87147B"/>
    <w:rsid w:val="50256F15"/>
    <w:rsid w:val="505936E3"/>
    <w:rsid w:val="51125606"/>
    <w:rsid w:val="513348D4"/>
    <w:rsid w:val="51561FF9"/>
    <w:rsid w:val="517E3E72"/>
    <w:rsid w:val="53365699"/>
    <w:rsid w:val="53FE73E8"/>
    <w:rsid w:val="54173AC2"/>
    <w:rsid w:val="547921EE"/>
    <w:rsid w:val="54FB623E"/>
    <w:rsid w:val="55246C62"/>
    <w:rsid w:val="55D73919"/>
    <w:rsid w:val="5610061A"/>
    <w:rsid w:val="569A04FD"/>
    <w:rsid w:val="56FA16D6"/>
    <w:rsid w:val="57454659"/>
    <w:rsid w:val="576A2666"/>
    <w:rsid w:val="5792089E"/>
    <w:rsid w:val="57F00B75"/>
    <w:rsid w:val="58504A6D"/>
    <w:rsid w:val="5ACA69AA"/>
    <w:rsid w:val="5AD93632"/>
    <w:rsid w:val="5B426DDC"/>
    <w:rsid w:val="5C9964B7"/>
    <w:rsid w:val="5DC703C1"/>
    <w:rsid w:val="5E45169B"/>
    <w:rsid w:val="5EAE2AB7"/>
    <w:rsid w:val="61847F1A"/>
    <w:rsid w:val="62492CFA"/>
    <w:rsid w:val="62BB6A0D"/>
    <w:rsid w:val="62D0238E"/>
    <w:rsid w:val="64060B02"/>
    <w:rsid w:val="64B024E4"/>
    <w:rsid w:val="659B3BA3"/>
    <w:rsid w:val="65C912F8"/>
    <w:rsid w:val="6609180C"/>
    <w:rsid w:val="66E42755"/>
    <w:rsid w:val="671D21BF"/>
    <w:rsid w:val="67376B46"/>
    <w:rsid w:val="676F69B7"/>
    <w:rsid w:val="679D2467"/>
    <w:rsid w:val="6844733C"/>
    <w:rsid w:val="695B541A"/>
    <w:rsid w:val="6A1E5C7E"/>
    <w:rsid w:val="6A2436D5"/>
    <w:rsid w:val="6A272E10"/>
    <w:rsid w:val="6A424EFD"/>
    <w:rsid w:val="6BAF425E"/>
    <w:rsid w:val="6BD16F6F"/>
    <w:rsid w:val="6D045136"/>
    <w:rsid w:val="6D2A1547"/>
    <w:rsid w:val="6D505799"/>
    <w:rsid w:val="6D665F30"/>
    <w:rsid w:val="6DA35768"/>
    <w:rsid w:val="6E4A24E6"/>
    <w:rsid w:val="6ECB2495"/>
    <w:rsid w:val="6EF51A2B"/>
    <w:rsid w:val="6F4A6F49"/>
    <w:rsid w:val="709E2E53"/>
    <w:rsid w:val="71224B11"/>
    <w:rsid w:val="713E7CF2"/>
    <w:rsid w:val="71D8139A"/>
    <w:rsid w:val="725A1743"/>
    <w:rsid w:val="726950F2"/>
    <w:rsid w:val="72D0402E"/>
    <w:rsid w:val="73F36B24"/>
    <w:rsid w:val="74946552"/>
    <w:rsid w:val="74AC319F"/>
    <w:rsid w:val="74E23B08"/>
    <w:rsid w:val="751C4948"/>
    <w:rsid w:val="755F09D6"/>
    <w:rsid w:val="75713502"/>
    <w:rsid w:val="76157530"/>
    <w:rsid w:val="76554B8B"/>
    <w:rsid w:val="778D1767"/>
    <w:rsid w:val="782B5FE2"/>
    <w:rsid w:val="78F77703"/>
    <w:rsid w:val="796913C1"/>
    <w:rsid w:val="7AA72599"/>
    <w:rsid w:val="7BC82B92"/>
    <w:rsid w:val="7C1D47EC"/>
    <w:rsid w:val="7C577805"/>
    <w:rsid w:val="7CB62083"/>
    <w:rsid w:val="7D7F120F"/>
    <w:rsid w:val="7DB919C1"/>
    <w:rsid w:val="7E8F7E91"/>
    <w:rsid w:val="7EB722FC"/>
    <w:rsid w:val="7FBB3B5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before="154" w:beforeLines="0"/>
      <w:ind w:left="118"/>
    </w:pPr>
    <w:rPr>
      <w:rFonts w:ascii="宋体" w:hAnsi="宋体" w:eastAsia="宋体"/>
      <w:sz w:val="24"/>
      <w:szCs w:val="24"/>
    </w:rPr>
  </w:style>
  <w:style w:type="paragraph" w:styleId="5">
    <w:name w:val="Body Text Indent"/>
    <w:basedOn w:val="1"/>
    <w:qFormat/>
    <w:uiPriority w:val="0"/>
    <w:pPr>
      <w:spacing w:after="120"/>
      <w:ind w:left="420" w:leftChars="200"/>
    </w:pPr>
  </w:style>
  <w:style w:type="paragraph" w:styleId="6">
    <w:name w:val="toc 3"/>
    <w:basedOn w:val="1"/>
    <w:next w:val="1"/>
    <w:semiHidden/>
    <w:qFormat/>
    <w:uiPriority w:val="0"/>
    <w:pPr>
      <w:ind w:left="840" w:leftChars="400"/>
    </w:pPr>
  </w:style>
  <w:style w:type="paragraph" w:styleId="7">
    <w:name w:val="Plain Text"/>
    <w:basedOn w:val="1"/>
    <w:qFormat/>
    <w:uiPriority w:val="99"/>
    <w:rPr>
      <w:rFonts w:ascii="宋体" w:hAnsi="Courier New"/>
      <w:szCs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toc 2"/>
    <w:basedOn w:val="1"/>
    <w:next w:val="1"/>
    <w:qFormat/>
    <w:uiPriority w:val="39"/>
    <w:pPr>
      <w:ind w:left="420" w:leftChars="200"/>
    </w:pPr>
  </w:style>
  <w:style w:type="paragraph" w:styleId="12">
    <w:name w:val="Normal (Web)"/>
    <w:basedOn w:val="1"/>
    <w:qFormat/>
    <w:uiPriority w:val="0"/>
    <w:pPr>
      <w:widowControl/>
      <w:spacing w:before="100" w:beforeAutospacing="1" w:after="100" w:afterAutospacing="1"/>
      <w:jc w:val="left"/>
    </w:pPr>
    <w:rPr>
      <w:rFonts w:ascii="宋体" w:hAnsi="宋体"/>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style>
  <w:style w:type="character" w:styleId="17">
    <w:name w:val="Hyperlink"/>
    <w:unhideWhenUsed/>
    <w:qFormat/>
    <w:uiPriority w:val="99"/>
    <w:rPr>
      <w:color w:val="0563C1"/>
      <w:u w:val="single"/>
    </w:rPr>
  </w:style>
  <w:style w:type="paragraph" w:customStyle="1" w:styleId="18">
    <w:name w:val="WPSOffice手动目录 1"/>
    <w:qFormat/>
    <w:uiPriority w:val="0"/>
    <w:rPr>
      <w:rFonts w:ascii="Times New Roman" w:hAnsi="Times New Roman" w:eastAsia="宋体" w:cs="Times New Roman"/>
      <w:lang w:val="en-US" w:eastAsia="zh-CN" w:bidi="ar-SA"/>
    </w:rPr>
  </w:style>
  <w:style w:type="paragraph" w:customStyle="1" w:styleId="19">
    <w:name w:val="WPSOffice手动目录 2"/>
    <w:qFormat/>
    <w:uiPriority w:val="0"/>
    <w:pPr>
      <w:ind w:leftChars="200"/>
    </w:pPr>
    <w:rPr>
      <w:rFonts w:ascii="Times New Roman" w:hAnsi="Times New Roman" w:eastAsia="宋体" w:cs="Times New Roman"/>
      <w:lang w:val="en-US" w:eastAsia="zh-CN" w:bidi="ar-SA"/>
    </w:rPr>
  </w:style>
  <w:style w:type="paragraph" w:styleId="20">
    <w:name w:val="List Paragraph"/>
    <w:basedOn w:val="1"/>
    <w:qFormat/>
    <w:uiPriority w:val="34"/>
    <w:pPr>
      <w:spacing w:line="240" w:lineRule="auto"/>
      <w:ind w:firstLine="420" w:firstLineChars="200"/>
    </w:pPr>
    <w:rPr>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1560</Words>
  <Characters>8898</Characters>
  <Lines>74</Lines>
  <Paragraphs>20</Paragraphs>
  <TotalTime>5</TotalTime>
  <ScaleCrop>false</ScaleCrop>
  <LinksUpToDate>false</LinksUpToDate>
  <CharactersWithSpaces>10438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王家强</dc:creator>
  <cp:lastModifiedBy>冰褶</cp:lastModifiedBy>
  <dcterms:modified xsi:type="dcterms:W3CDTF">2023-10-10T03:04:12Z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A73E7433DC444F5ABAB3A92DC1BE4F57_13</vt:lpwstr>
  </property>
</Properties>
</file>