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eastAsia="宋体" w:cs="宋体"/>
          <w:b/>
          <w:bCs/>
          <w:sz w:val="28"/>
          <w:szCs w:val="28"/>
        </w:rPr>
      </w:pPr>
      <w:r>
        <w:rPr>
          <w:rFonts w:hint="eastAsia" w:ascii="宋体" w:hAnsi="宋体" w:eastAsia="宋体" w:cs="宋体"/>
          <w:b/>
          <w:bCs/>
          <w:sz w:val="28"/>
          <w:szCs w:val="28"/>
          <w:lang w:eastAsia="zh-CN"/>
        </w:rPr>
        <w:t>检索号</w:t>
      </w:r>
      <w:r>
        <w:rPr>
          <w:rFonts w:hint="eastAsia" w:ascii="宋体" w:hAnsi="宋体" w:eastAsia="宋体" w:cs="宋体"/>
          <w:b/>
          <w:bCs/>
          <w:sz w:val="28"/>
          <w:szCs w:val="28"/>
        </w:rPr>
        <w:t>：</w:t>
      </w:r>
      <w:r>
        <w:rPr>
          <w:rFonts w:ascii="宋体" w:hAnsi="宋体" w:eastAsia="宋体" w:cs="宋体"/>
          <w:b/>
          <w:bCs/>
          <w:sz w:val="28"/>
          <w:szCs w:val="28"/>
        </w:rPr>
        <w:t xml:space="preserve"> </w:t>
      </w:r>
      <w:r>
        <w:rPr>
          <w:rFonts w:hint="eastAsia" w:ascii="宋体" w:hAnsi="宋体" w:eastAsia="宋体" w:cs="宋体"/>
          <w:b/>
          <w:bCs/>
          <w:sz w:val="28"/>
          <w:szCs w:val="28"/>
          <w:lang w:val="en-US" w:eastAsia="zh-CN"/>
        </w:rPr>
        <w:t>SCTL-XJ2023-1088-A01</w:t>
      </w:r>
    </w:p>
    <w:p>
      <w:pPr>
        <w:jc w:val="center"/>
        <w:rPr>
          <w:rFonts w:hint="eastAsia" w:ascii="宋体" w:hAnsi="宋体" w:eastAsia="宋体" w:cs="宋体"/>
          <w:sz w:val="36"/>
          <w:szCs w:val="36"/>
        </w:rPr>
      </w:pPr>
      <w:r>
        <w:rPr>
          <w:rFonts w:hint="eastAsia" w:ascii="宋体" w:hAnsi="宋体" w:eastAsia="宋体" w:cs="宋体"/>
          <w:sz w:val="36"/>
          <w:szCs w:val="36"/>
        </w:rPr>
        <w:t xml:space="preserve"> </w:t>
      </w:r>
    </w:p>
    <w:p>
      <w:pPr>
        <w:pStyle w:val="2"/>
        <w:rPr>
          <w:rFonts w:hint="eastAsia" w:ascii="宋体" w:hAnsi="宋体" w:eastAsia="宋体" w:cs="宋体"/>
          <w:sz w:val="36"/>
          <w:szCs w:val="36"/>
        </w:rPr>
      </w:pPr>
    </w:p>
    <w:p>
      <w:pPr>
        <w:pStyle w:val="3"/>
      </w:pPr>
    </w:p>
    <w:p>
      <w:pPr>
        <w:jc w:val="center"/>
        <w:rPr>
          <w:rFonts w:hint="eastAsia" w:ascii="宋体" w:hAnsi="宋体" w:eastAsia="宋体" w:cs="宋体"/>
          <w:b/>
          <w:bCs/>
          <w:sz w:val="36"/>
          <w:szCs w:val="36"/>
        </w:rPr>
      </w:pPr>
      <w:r>
        <w:rPr>
          <w:rFonts w:hint="eastAsia" w:ascii="宋体" w:hAnsi="宋体" w:eastAsia="宋体" w:cs="宋体"/>
          <w:b/>
          <w:bCs/>
          <w:sz w:val="44"/>
          <w:szCs w:val="44"/>
        </w:rPr>
        <w:t>神仙桥产业园能源综合利用项目送出工程</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线路部分</w:t>
      </w:r>
    </w:p>
    <w:p>
      <w:pPr>
        <w:pStyle w:val="2"/>
        <w:rPr>
          <w:rFonts w:hint="eastAsia" w:ascii="宋体" w:hAnsi="宋体" w:eastAsia="宋体" w:cs="宋体"/>
          <w:sz w:val="36"/>
          <w:szCs w:val="36"/>
          <w:lang w:val="en-US" w:eastAsia="zh-CN"/>
        </w:rPr>
      </w:pPr>
    </w:p>
    <w:p>
      <w:pPr>
        <w:pStyle w:val="3"/>
        <w:rPr>
          <w:rFonts w:hint="eastAsia" w:ascii="宋体" w:hAnsi="宋体" w:eastAsia="宋体" w:cs="宋体"/>
          <w:sz w:val="36"/>
          <w:szCs w:val="36"/>
          <w:lang w:val="en-US" w:eastAsia="zh-CN"/>
        </w:rPr>
      </w:pPr>
    </w:p>
    <w:p>
      <w:pPr>
        <w:pStyle w:val="3"/>
        <w:rPr>
          <w:rFonts w:hint="eastAsia" w:ascii="宋体" w:hAnsi="宋体" w:eastAsia="宋体" w:cs="宋体"/>
          <w:sz w:val="36"/>
          <w:szCs w:val="36"/>
          <w:lang w:val="en-US" w:eastAsia="zh-CN"/>
        </w:rPr>
      </w:pPr>
    </w:p>
    <w:p>
      <w:pPr>
        <w:pStyle w:val="3"/>
        <w:rPr>
          <w:rFonts w:hint="eastAsia" w:ascii="宋体" w:hAnsi="宋体" w:eastAsia="宋体" w:cs="宋体"/>
          <w:sz w:val="36"/>
          <w:szCs w:val="36"/>
          <w:lang w:val="en-US" w:eastAsia="zh-CN"/>
        </w:rPr>
      </w:pPr>
    </w:p>
    <w:p>
      <w:pPr>
        <w:widowControl/>
        <w:snapToGrid w:val="0"/>
        <w:spacing w:line="360" w:lineRule="auto"/>
        <w:jc w:val="center"/>
        <w:rPr>
          <w:rFonts w:ascii="Times New Roman" w:hAnsi="Times New Roman"/>
          <w:b/>
          <w:bCs/>
          <w:color w:val="auto"/>
          <w:kern w:val="0"/>
          <w:sz w:val="32"/>
          <w:szCs w:val="32"/>
          <w:lang w:bidi="ar"/>
        </w:rPr>
      </w:pPr>
      <w:r>
        <w:rPr>
          <w:rFonts w:ascii="Times New Roman" w:hAnsi="Times New Roman"/>
          <w:b/>
          <w:bCs/>
          <w:color w:val="auto"/>
          <w:kern w:val="0"/>
          <w:sz w:val="44"/>
          <w:szCs w:val="44"/>
          <w:lang w:bidi="ar"/>
        </w:rPr>
        <w:t>说明书</w:t>
      </w:r>
    </w:p>
    <w:p>
      <w:pPr>
        <w:widowControl/>
        <w:snapToGrid w:val="0"/>
        <w:spacing w:line="360" w:lineRule="auto"/>
        <w:jc w:val="center"/>
        <w:rPr>
          <w:rFonts w:ascii="Times New Roman" w:hAnsi="Times New Roman"/>
          <w:color w:val="auto"/>
          <w:sz w:val="36"/>
          <w:szCs w:val="36"/>
        </w:rPr>
      </w:pPr>
      <w:r>
        <w:rPr>
          <w:rFonts w:ascii="Times New Roman" w:hAnsi="Times New Roman"/>
          <w:b/>
          <w:bCs/>
          <w:color w:val="auto"/>
          <w:kern w:val="0"/>
          <w:sz w:val="36"/>
          <w:szCs w:val="36"/>
          <w:lang w:bidi="ar"/>
        </w:rPr>
        <w:t>（</w:t>
      </w:r>
      <w:r>
        <w:rPr>
          <w:rFonts w:hint="eastAsia" w:ascii="Times New Roman" w:hAnsi="Times New Roman"/>
          <w:b/>
          <w:bCs/>
          <w:color w:val="auto"/>
          <w:kern w:val="0"/>
          <w:sz w:val="36"/>
          <w:szCs w:val="36"/>
          <w:lang w:val="en-US" w:eastAsia="zh-CN" w:bidi="ar"/>
        </w:rPr>
        <w:t>送审</w:t>
      </w:r>
      <w:r>
        <w:rPr>
          <w:rFonts w:ascii="Times New Roman" w:hAnsi="Times New Roman"/>
          <w:b/>
          <w:bCs/>
          <w:color w:val="auto"/>
          <w:kern w:val="0"/>
          <w:sz w:val="36"/>
          <w:szCs w:val="36"/>
          <w:lang w:bidi="ar"/>
        </w:rPr>
        <w:t>版）</w:t>
      </w:r>
    </w:p>
    <w:p>
      <w:pPr>
        <w:pStyle w:val="2"/>
      </w:pPr>
    </w:p>
    <w:p>
      <w:pPr>
        <w:pStyle w:val="3"/>
      </w:pPr>
    </w:p>
    <w:p>
      <w:pPr>
        <w:pStyle w:val="3"/>
      </w:pPr>
    </w:p>
    <w:p>
      <w:pPr>
        <w:pStyle w:val="3"/>
      </w:pPr>
    </w:p>
    <w:p>
      <w:pPr>
        <w:pStyle w:val="2"/>
        <w:rPr>
          <w:rFonts w:ascii="宋体" w:hAnsi="宋体" w:eastAsia="宋体" w:cs="宋体"/>
          <w:sz w:val="28"/>
          <w:szCs w:val="28"/>
        </w:rPr>
      </w:pPr>
    </w:p>
    <w:p>
      <w:pPr>
        <w:pStyle w:val="3"/>
        <w:rPr>
          <w:rFonts w:ascii="宋体" w:hAnsi="宋体" w:eastAsia="宋体" w:cs="宋体"/>
          <w:sz w:val="28"/>
          <w:szCs w:val="28"/>
        </w:rPr>
      </w:pPr>
    </w:p>
    <w:p>
      <w:pPr>
        <w:pStyle w:val="3"/>
        <w:rPr>
          <w:rFonts w:ascii="宋体" w:hAnsi="宋体" w:eastAsia="宋体" w:cs="宋体"/>
          <w:sz w:val="28"/>
          <w:szCs w:val="28"/>
        </w:rPr>
      </w:pPr>
    </w:p>
    <w:p>
      <w:pPr>
        <w:jc w:val="center"/>
        <w:rPr>
          <w:rFonts w:ascii="宋体" w:hAnsi="宋体" w:eastAsia="宋体" w:cs="宋体"/>
          <w:b/>
          <w:bCs/>
          <w:sz w:val="28"/>
          <w:szCs w:val="28"/>
        </w:rPr>
      </w:pPr>
    </w:p>
    <w:p>
      <w:pPr>
        <w:jc w:val="center"/>
        <w:rPr>
          <w:rFonts w:hint="eastAsia" w:ascii="宋体" w:hAnsi="宋体" w:eastAsia="宋体" w:cs="宋体"/>
          <w:b/>
          <w:bCs/>
          <w:sz w:val="28"/>
          <w:szCs w:val="28"/>
          <w:lang w:eastAsia="zh-CN"/>
        </w:rPr>
      </w:pPr>
      <w:r>
        <w:rPr>
          <w:rFonts w:ascii="宋体" w:hAnsi="宋体" w:eastAsia="宋体" w:cs="宋体"/>
          <w:b/>
          <w:bCs/>
          <w:sz w:val="28"/>
          <w:szCs w:val="28"/>
        </w:rPr>
        <w:t xml:space="preserve"> </w:t>
      </w:r>
      <w:r>
        <w:rPr>
          <w:rFonts w:hint="eastAsia" w:ascii="宋体" w:hAnsi="宋体" w:eastAsia="宋体" w:cs="宋体"/>
          <w:b/>
          <w:bCs/>
          <w:sz w:val="28"/>
          <w:szCs w:val="28"/>
          <w:lang w:eastAsia="zh-CN"/>
        </w:rPr>
        <w:t>四川同力电力工程设计有限公司</w:t>
      </w:r>
    </w:p>
    <w:p>
      <w:pPr>
        <w:jc w:val="center"/>
        <w:rPr>
          <w:rFonts w:ascii="宋体" w:hAnsi="宋体" w:eastAsia="宋体" w:cs="宋体"/>
          <w:b/>
          <w:bCs/>
          <w:sz w:val="28"/>
          <w:szCs w:val="28"/>
        </w:rPr>
      </w:pPr>
      <w:r>
        <w:rPr>
          <w:rFonts w:hint="eastAsia" w:ascii="宋体" w:hAnsi="宋体" w:eastAsia="宋体" w:cs="宋体"/>
          <w:b/>
          <w:bCs/>
          <w:sz w:val="28"/>
          <w:szCs w:val="28"/>
          <w:lang w:eastAsia="zh-CN"/>
        </w:rPr>
        <w:t>二零二三</w:t>
      </w:r>
      <w:r>
        <w:rPr>
          <w:rFonts w:hint="eastAsia" w:ascii="宋体" w:hAnsi="宋体" w:eastAsia="宋体" w:cs="宋体"/>
          <w:b/>
          <w:bCs/>
          <w:sz w:val="28"/>
          <w:szCs w:val="28"/>
        </w:rPr>
        <w:t>年</w:t>
      </w:r>
      <w:r>
        <w:rPr>
          <w:rFonts w:hint="eastAsia" w:ascii="宋体" w:hAnsi="宋体" w:eastAsia="宋体" w:cs="宋体"/>
          <w:b/>
          <w:bCs/>
          <w:sz w:val="28"/>
          <w:szCs w:val="28"/>
          <w:lang w:val="en-US" w:eastAsia="zh-CN"/>
        </w:rPr>
        <w:t>九</w:t>
      </w:r>
      <w:r>
        <w:rPr>
          <w:rFonts w:hint="eastAsia" w:ascii="宋体" w:hAnsi="宋体" w:eastAsia="宋体" w:cs="宋体"/>
          <w:b/>
          <w:bCs/>
          <w:sz w:val="28"/>
          <w:szCs w:val="28"/>
        </w:rPr>
        <w:t>月</w:t>
      </w:r>
    </w:p>
    <w:p>
      <w:pPr>
        <w:pStyle w:val="2"/>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bookmarkStart w:id="40" w:name="_GoBack"/>
      <w:bookmarkEnd w:id="40"/>
    </w:p>
    <w:p>
      <w:pPr>
        <w:widowControl/>
        <w:snapToGrid w:val="0"/>
        <w:spacing w:line="360" w:lineRule="auto"/>
        <w:jc w:val="center"/>
        <w:rPr>
          <w:rFonts w:ascii="Times New Roman" w:hAnsi="Times New Roman"/>
          <w:b/>
          <w:bCs/>
          <w:color w:val="auto"/>
          <w:kern w:val="0"/>
          <w:sz w:val="44"/>
          <w:szCs w:val="44"/>
          <w:lang w:bidi="ar"/>
        </w:rPr>
      </w:pPr>
      <w:r>
        <w:rPr>
          <w:rFonts w:hint="eastAsia" w:ascii="Times New Roman" w:hAnsi="Times New Roman"/>
          <w:b/>
          <w:bCs/>
          <w:color w:val="auto"/>
          <w:kern w:val="0"/>
          <w:sz w:val="44"/>
          <w:szCs w:val="44"/>
          <w:lang w:bidi="ar"/>
        </w:rPr>
        <w:t>神仙桥产业园能源综合利用项目送出工程</w:t>
      </w:r>
    </w:p>
    <w:p>
      <w:pPr>
        <w:snapToGrid w:val="0"/>
        <w:jc w:val="center"/>
        <w:rPr>
          <w:rFonts w:ascii="Times New Roman" w:hAnsi="Times New Roman"/>
          <w:b/>
          <w:bCs/>
          <w:color w:val="auto"/>
          <w:sz w:val="28"/>
          <w:szCs w:val="28"/>
        </w:rPr>
      </w:pPr>
    </w:p>
    <w:p>
      <w:pPr>
        <w:pStyle w:val="2"/>
      </w:pPr>
    </w:p>
    <w:p>
      <w:pPr>
        <w:snapToGrid w:val="0"/>
        <w:spacing w:line="360" w:lineRule="auto"/>
        <w:jc w:val="center"/>
        <w:rPr>
          <w:rFonts w:ascii="Times New Roman" w:hAnsi="Times New Roman"/>
          <w:b/>
          <w:bCs/>
          <w:color w:val="auto"/>
          <w:sz w:val="36"/>
          <w:szCs w:val="36"/>
        </w:rPr>
      </w:pPr>
      <w:r>
        <w:rPr>
          <w:rFonts w:hint="eastAsia" w:ascii="Times New Roman" w:hAnsi="Times New Roman"/>
          <w:b/>
          <w:bCs/>
          <w:color w:val="auto"/>
          <w:sz w:val="36"/>
          <w:szCs w:val="36"/>
        </w:rPr>
        <w:t>总</w:t>
      </w:r>
      <w:r>
        <w:rPr>
          <w:rFonts w:ascii="Times New Roman" w:hAnsi="Times New Roman"/>
          <w:b/>
          <w:bCs/>
          <w:color w:val="auto"/>
          <w:sz w:val="36"/>
          <w:szCs w:val="36"/>
        </w:rPr>
        <w:t>目录</w:t>
      </w:r>
    </w:p>
    <w:p>
      <w:pPr>
        <w:pStyle w:val="5"/>
        <w:rPr>
          <w:rFonts w:ascii="Times New Roman" w:hAnsi="Times New Roman"/>
          <w:b/>
          <w:bCs/>
          <w:color w:val="auto"/>
          <w:sz w:val="36"/>
          <w:szCs w:val="36"/>
        </w:rPr>
      </w:pPr>
    </w:p>
    <w:p>
      <w:pPr>
        <w:rPr>
          <w:rFonts w:ascii="Times New Roman" w:hAnsi="Times New Roman"/>
          <w:b/>
          <w:bCs/>
          <w:color w:val="auto"/>
          <w:sz w:val="36"/>
          <w:szCs w:val="36"/>
        </w:rPr>
      </w:pPr>
    </w:p>
    <w:p>
      <w:pPr>
        <w:pStyle w:val="5"/>
        <w:rPr>
          <w:rFonts w:ascii="Times New Roman" w:hAnsi="Times New Roman"/>
          <w:b/>
          <w:bCs/>
          <w:color w:val="auto"/>
          <w:sz w:val="36"/>
          <w:szCs w:val="36"/>
        </w:rPr>
      </w:pPr>
    </w:p>
    <w:p/>
    <w:p>
      <w:pPr>
        <w:rPr>
          <w:color w:val="auto"/>
        </w:rPr>
      </w:pPr>
    </w:p>
    <w:p>
      <w:pPr>
        <w:pStyle w:val="5"/>
        <w:snapToGrid w:val="0"/>
        <w:ind w:firstLine="0" w:firstLineChars="0"/>
        <w:rPr>
          <w:color w:val="auto"/>
          <w:szCs w:val="28"/>
        </w:rPr>
      </w:pPr>
    </w:p>
    <w:tbl>
      <w:tblPr>
        <w:tblStyle w:val="12"/>
        <w:tblW w:w="4998" w:type="pct"/>
        <w:tblInd w:w="0" w:type="dxa"/>
        <w:tblLayout w:type="fixed"/>
        <w:tblCellMar>
          <w:top w:w="0" w:type="dxa"/>
          <w:left w:w="108" w:type="dxa"/>
          <w:bottom w:w="0" w:type="dxa"/>
          <w:right w:w="108" w:type="dxa"/>
        </w:tblCellMar>
      </w:tblPr>
      <w:tblGrid>
        <w:gridCol w:w="1257"/>
        <w:gridCol w:w="3989"/>
        <w:gridCol w:w="3273"/>
      </w:tblGrid>
      <w:tr>
        <w:tblPrEx>
          <w:tblCellMar>
            <w:top w:w="0" w:type="dxa"/>
            <w:left w:w="108" w:type="dxa"/>
            <w:bottom w:w="0" w:type="dxa"/>
            <w:right w:w="108" w:type="dxa"/>
          </w:tblCellMar>
        </w:tblPrEx>
        <w:trPr>
          <w:trHeight w:val="270" w:hRule="atLeast"/>
        </w:trPr>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b/>
                <w:bCs/>
                <w:color w:val="auto"/>
                <w:sz w:val="24"/>
              </w:rPr>
            </w:pPr>
            <w:r>
              <w:rPr>
                <w:rFonts w:hint="eastAsia" w:ascii="宋体" w:hAnsi="宋体" w:cs="宋体"/>
                <w:b/>
                <w:bCs/>
                <w:color w:val="auto"/>
                <w:kern w:val="0"/>
                <w:sz w:val="24"/>
                <w:lang w:bidi="ar"/>
              </w:rPr>
              <w:t>卷册号</w:t>
            </w:r>
          </w:p>
        </w:tc>
        <w:tc>
          <w:tcPr>
            <w:tcW w:w="3987"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b/>
                <w:bCs/>
                <w:color w:val="auto"/>
                <w:sz w:val="24"/>
              </w:rPr>
            </w:pPr>
            <w:r>
              <w:rPr>
                <w:rFonts w:hint="eastAsia" w:ascii="宋体" w:hAnsi="宋体" w:cs="宋体"/>
                <w:b/>
                <w:bCs/>
                <w:color w:val="auto"/>
                <w:kern w:val="0"/>
                <w:sz w:val="24"/>
                <w:lang w:bidi="ar"/>
              </w:rPr>
              <w:t>卷册名称</w:t>
            </w:r>
          </w:p>
        </w:tc>
        <w:tc>
          <w:tcPr>
            <w:tcW w:w="3271"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b/>
                <w:bCs/>
                <w:color w:val="auto"/>
                <w:sz w:val="24"/>
              </w:rPr>
            </w:pPr>
            <w:r>
              <w:rPr>
                <w:rFonts w:hint="eastAsia" w:ascii="宋体" w:hAnsi="宋体" w:cs="宋体"/>
                <w:b/>
                <w:bCs/>
                <w:color w:val="auto"/>
                <w:kern w:val="0"/>
                <w:sz w:val="24"/>
                <w:lang w:bidi="ar"/>
              </w:rPr>
              <w:t>检索号</w:t>
            </w:r>
          </w:p>
        </w:tc>
      </w:tr>
      <w:tr>
        <w:tblPrEx>
          <w:tblCellMar>
            <w:top w:w="0" w:type="dxa"/>
            <w:left w:w="108" w:type="dxa"/>
            <w:bottom w:w="0" w:type="dxa"/>
            <w:right w:w="108" w:type="dxa"/>
          </w:tblCellMar>
        </w:tblPrEx>
        <w:trPr>
          <w:trHeight w:val="270" w:hRule="atLeast"/>
        </w:trPr>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color w:val="auto"/>
                <w:sz w:val="24"/>
              </w:rPr>
            </w:pPr>
            <w:r>
              <w:rPr>
                <w:rFonts w:hint="eastAsia" w:ascii="宋体" w:hAnsi="宋体" w:cs="宋体"/>
                <w:color w:val="auto"/>
                <w:kern w:val="0"/>
                <w:sz w:val="24"/>
                <w:lang w:bidi="ar"/>
              </w:rPr>
              <w:t>第一卷</w:t>
            </w:r>
          </w:p>
        </w:tc>
        <w:tc>
          <w:tcPr>
            <w:tcW w:w="3987"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b w:val="0"/>
                <w:bCs w:val="0"/>
                <w:color w:val="auto"/>
                <w:sz w:val="24"/>
              </w:rPr>
            </w:pPr>
            <w:r>
              <w:rPr>
                <w:rFonts w:hint="eastAsia" w:ascii="宋体" w:hAnsi="宋体" w:cs="宋体"/>
                <w:b w:val="0"/>
                <w:bCs w:val="0"/>
                <w:color w:val="auto"/>
                <w:kern w:val="0"/>
                <w:sz w:val="24"/>
                <w:lang w:val="en-US" w:eastAsia="zh-CN" w:bidi="ar"/>
              </w:rPr>
              <w:t>线路</w:t>
            </w:r>
            <w:r>
              <w:rPr>
                <w:rFonts w:hint="eastAsia" w:ascii="宋体" w:hAnsi="宋体" w:cs="宋体"/>
                <w:b w:val="0"/>
                <w:bCs w:val="0"/>
                <w:color w:val="auto"/>
                <w:kern w:val="0"/>
                <w:sz w:val="24"/>
                <w:lang w:bidi="ar"/>
              </w:rPr>
              <w:t>部分</w:t>
            </w:r>
          </w:p>
        </w:tc>
        <w:tc>
          <w:tcPr>
            <w:tcW w:w="3271"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left"/>
              <w:textAlignment w:val="center"/>
              <w:rPr>
                <w:rFonts w:ascii="宋体" w:hAnsi="宋体" w:cs="宋体"/>
                <w:b w:val="0"/>
                <w:bCs w:val="0"/>
                <w:color w:val="auto"/>
                <w:sz w:val="24"/>
              </w:rPr>
            </w:pPr>
            <w:r>
              <w:rPr>
                <w:rFonts w:hint="eastAsia" w:ascii="宋体" w:hAnsi="宋体" w:cs="宋体"/>
                <w:b w:val="0"/>
                <w:bCs w:val="0"/>
                <w:color w:val="auto"/>
                <w:sz w:val="24"/>
                <w:lang w:val="en-US" w:eastAsia="zh-CN"/>
              </w:rPr>
              <w:t>SCTL-XJ2023-1088-A01</w:t>
            </w:r>
          </w:p>
        </w:tc>
      </w:tr>
      <w:tr>
        <w:tblPrEx>
          <w:tblCellMar>
            <w:top w:w="0" w:type="dxa"/>
            <w:left w:w="108" w:type="dxa"/>
            <w:bottom w:w="0" w:type="dxa"/>
            <w:right w:w="108" w:type="dxa"/>
          </w:tblCellMar>
        </w:tblPrEx>
        <w:trPr>
          <w:trHeight w:val="270" w:hRule="atLeast"/>
        </w:trPr>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b/>
                <w:bCs/>
                <w:color w:val="auto"/>
                <w:sz w:val="24"/>
              </w:rPr>
            </w:pPr>
            <w:r>
              <w:rPr>
                <w:rFonts w:hint="eastAsia" w:ascii="宋体" w:hAnsi="宋体" w:cs="宋体"/>
                <w:b/>
                <w:bCs/>
                <w:color w:val="auto"/>
                <w:kern w:val="0"/>
                <w:sz w:val="24"/>
                <w:lang w:bidi="ar"/>
              </w:rPr>
              <w:t>第二卷</w:t>
            </w:r>
          </w:p>
        </w:tc>
        <w:tc>
          <w:tcPr>
            <w:tcW w:w="3987"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b/>
                <w:bCs/>
                <w:color w:val="auto"/>
                <w:kern w:val="0"/>
                <w:sz w:val="24"/>
                <w:lang w:bidi="ar"/>
              </w:rPr>
            </w:pPr>
            <w:r>
              <w:rPr>
                <w:rFonts w:hint="eastAsia" w:ascii="宋体" w:hAnsi="宋体" w:cs="宋体"/>
                <w:b/>
                <w:bCs/>
                <w:color w:val="auto"/>
                <w:kern w:val="0"/>
                <w:sz w:val="24"/>
                <w:lang w:val="en-US" w:eastAsia="zh-CN" w:bidi="ar"/>
              </w:rPr>
              <w:t>间隔扩建及通信部分</w:t>
            </w:r>
          </w:p>
        </w:tc>
        <w:tc>
          <w:tcPr>
            <w:tcW w:w="3271"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left"/>
              <w:textAlignment w:val="center"/>
              <w:rPr>
                <w:rFonts w:ascii="宋体" w:hAnsi="宋体" w:cs="宋体"/>
                <w:b/>
                <w:bCs/>
                <w:color w:val="auto"/>
                <w:sz w:val="24"/>
              </w:rPr>
            </w:pPr>
            <w:r>
              <w:rPr>
                <w:rFonts w:hint="eastAsia" w:ascii="宋体" w:hAnsi="宋体" w:cs="宋体"/>
                <w:b/>
                <w:bCs/>
                <w:color w:val="auto"/>
                <w:sz w:val="24"/>
                <w:lang w:val="en-US" w:eastAsia="zh-CN"/>
              </w:rPr>
              <w:t>SCTL-XJ2023-1088-A02</w:t>
            </w:r>
          </w:p>
        </w:tc>
      </w:tr>
      <w:tr>
        <w:tblPrEx>
          <w:tblCellMar>
            <w:top w:w="0" w:type="dxa"/>
            <w:left w:w="108" w:type="dxa"/>
            <w:bottom w:w="0" w:type="dxa"/>
            <w:right w:w="108" w:type="dxa"/>
          </w:tblCellMar>
        </w:tblPrEx>
        <w:trPr>
          <w:trHeight w:val="270" w:hRule="atLeast"/>
        </w:trPr>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color w:val="auto"/>
                <w:sz w:val="24"/>
              </w:rPr>
            </w:pPr>
            <w:r>
              <w:rPr>
                <w:rFonts w:hint="eastAsia" w:ascii="宋体" w:hAnsi="宋体" w:cs="宋体"/>
                <w:color w:val="auto"/>
                <w:kern w:val="0"/>
                <w:sz w:val="24"/>
                <w:lang w:bidi="ar"/>
              </w:rPr>
              <w:t>第三卷</w:t>
            </w:r>
          </w:p>
        </w:tc>
        <w:tc>
          <w:tcPr>
            <w:tcW w:w="3987"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center"/>
              <w:textAlignment w:val="center"/>
              <w:rPr>
                <w:rFonts w:ascii="宋体" w:hAnsi="宋体" w:cs="宋体"/>
                <w:color w:val="auto"/>
                <w:sz w:val="24"/>
              </w:rPr>
            </w:pPr>
            <w:r>
              <w:rPr>
                <w:rFonts w:hint="eastAsia" w:ascii="宋体" w:hAnsi="宋体" w:cs="宋体"/>
                <w:color w:val="auto"/>
                <w:kern w:val="0"/>
                <w:sz w:val="24"/>
                <w:lang w:bidi="ar"/>
              </w:rPr>
              <w:t>投资概算</w:t>
            </w:r>
          </w:p>
        </w:tc>
        <w:tc>
          <w:tcPr>
            <w:tcW w:w="3271"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480" w:lineRule="exact"/>
              <w:jc w:val="left"/>
              <w:textAlignment w:val="center"/>
              <w:rPr>
                <w:rFonts w:ascii="宋体" w:hAnsi="宋体" w:cs="宋体"/>
                <w:color w:val="auto"/>
                <w:sz w:val="24"/>
              </w:rPr>
            </w:pPr>
            <w:r>
              <w:rPr>
                <w:rFonts w:hint="eastAsia" w:ascii="宋体" w:hAnsi="宋体" w:cs="宋体"/>
                <w:b w:val="0"/>
                <w:bCs w:val="0"/>
                <w:color w:val="auto"/>
                <w:sz w:val="24"/>
                <w:lang w:val="en-US" w:eastAsia="zh-CN"/>
              </w:rPr>
              <w:t>SCTL-XJ2023-1088-E01</w:t>
            </w:r>
          </w:p>
        </w:tc>
      </w:tr>
    </w:tbl>
    <w:p>
      <w:pPr>
        <w:pStyle w:val="3"/>
        <w:sectPr>
          <w:pgSz w:w="11906" w:h="16838"/>
          <w:pgMar w:top="1440" w:right="1800" w:bottom="1440" w:left="1800" w:header="851" w:footer="992" w:gutter="0"/>
          <w:pgNumType w:fmt="numberInDash" w:start="1"/>
          <w:cols w:space="425" w:num="1"/>
          <w:titlePg/>
          <w:docGrid w:type="lines" w:linePitch="312" w:charSpace="0"/>
        </w:sectPr>
      </w:pPr>
    </w:p>
    <w:p>
      <w:pPr>
        <w:jc w:val="center"/>
        <w:rPr>
          <w:rFonts w:hint="eastAsia" w:ascii="宋体" w:hAnsi="宋体" w:eastAsia="宋体" w:cs="宋体"/>
          <w:b/>
          <w:bCs/>
          <w:sz w:val="36"/>
          <w:szCs w:val="36"/>
        </w:rPr>
      </w:pPr>
      <w:r>
        <w:rPr>
          <w:rFonts w:hint="eastAsia" w:ascii="宋体" w:hAnsi="宋体" w:eastAsia="宋体" w:cs="宋体"/>
          <w:b/>
          <w:bCs/>
          <w:sz w:val="44"/>
          <w:szCs w:val="44"/>
        </w:rPr>
        <w:t>神仙桥产业园能源综合利用项目送出工程</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线路部分</w:t>
      </w:r>
    </w:p>
    <w:p>
      <w:pPr>
        <w:jc w:val="center"/>
        <w:rPr>
          <w:rFonts w:ascii="宋体" w:hAnsi="宋体" w:eastAsia="宋体" w:cs="宋体"/>
          <w:sz w:val="32"/>
          <w:szCs w:val="32"/>
        </w:rPr>
      </w:pPr>
      <w:r>
        <w:rPr>
          <w:rFonts w:hint="eastAsia" w:ascii="宋体" w:hAnsi="宋体" w:eastAsia="宋体" w:cs="宋体"/>
          <w:sz w:val="32"/>
          <w:szCs w:val="32"/>
        </w:rPr>
        <w:t xml:space="preserve"> </w:t>
      </w:r>
    </w:p>
    <w:p>
      <w:pPr>
        <w:spacing w:line="360" w:lineRule="auto"/>
        <w:ind w:firstLine="843" w:firstLineChars="300"/>
        <w:rPr>
          <w:rFonts w:ascii="宋体" w:hAnsi="宋体"/>
          <w:b/>
          <w:sz w:val="28"/>
        </w:rPr>
      </w:pPr>
    </w:p>
    <w:p>
      <w:pPr>
        <w:spacing w:line="360" w:lineRule="auto"/>
        <w:ind w:firstLine="843" w:firstLineChars="300"/>
        <w:rPr>
          <w:rFonts w:ascii="宋体" w:hAnsi="宋体"/>
          <w:b/>
          <w:sz w:val="28"/>
        </w:rPr>
      </w:pPr>
    </w:p>
    <w:p>
      <w:pPr>
        <w:spacing w:line="360" w:lineRule="auto"/>
        <w:rPr>
          <w:rFonts w:ascii="宋体" w:hAnsi="宋体"/>
          <w:b/>
          <w:sz w:val="28"/>
        </w:rPr>
      </w:pPr>
    </w:p>
    <w:p>
      <w:pPr>
        <w:spacing w:line="360" w:lineRule="auto"/>
        <w:ind w:firstLine="843" w:firstLineChars="300"/>
        <w:rPr>
          <w:rFonts w:ascii="宋体" w:hAnsi="宋体"/>
          <w:b/>
          <w:sz w:val="28"/>
        </w:rPr>
      </w:pPr>
    </w:p>
    <w:p>
      <w:pPr>
        <w:spacing w:line="360" w:lineRule="auto"/>
        <w:ind w:firstLine="843" w:firstLineChars="300"/>
        <w:rPr>
          <w:rFonts w:ascii="华文仿宋" w:hAnsi="华文仿宋" w:eastAsia="华文仿宋"/>
          <w:b/>
          <w:sz w:val="28"/>
        </w:rPr>
      </w:pPr>
      <w:r>
        <w:rPr>
          <w:rFonts w:ascii="宋体" w:hAnsi="宋体"/>
          <w:b/>
          <w:sz w:val="28"/>
        </w:rPr>
        <w:t xml:space="preserve">批 </w:t>
      </w:r>
      <w:r>
        <w:rPr>
          <w:rFonts w:ascii="华文仿宋" w:hAnsi="华文仿宋" w:eastAsia="华文仿宋"/>
          <w:b/>
          <w:sz w:val="28"/>
        </w:rPr>
        <w:t xml:space="preserve">      </w:t>
      </w:r>
      <w:r>
        <w:rPr>
          <w:rFonts w:ascii="宋体" w:hAnsi="宋体"/>
          <w:b/>
          <w:sz w:val="28"/>
        </w:rPr>
        <w:t xml:space="preserve"> 准</w:t>
      </w:r>
      <w:r>
        <w:rPr>
          <w:rFonts w:ascii="华文仿宋" w:hAnsi="华文仿宋" w:eastAsia="华文仿宋"/>
          <w:b/>
          <w:sz w:val="28"/>
        </w:rPr>
        <w:t xml:space="preserve">：   </w:t>
      </w:r>
      <w:r>
        <w:rPr>
          <w:rFonts w:hint="eastAsia" w:ascii="华文仿宋" w:hAnsi="华文仿宋" w:eastAsia="华文仿宋"/>
          <w:b/>
          <w:sz w:val="28"/>
        </w:rPr>
        <w:t xml:space="preserve"> </w:t>
      </w:r>
    </w:p>
    <w:p>
      <w:pPr>
        <w:spacing w:line="360" w:lineRule="auto"/>
        <w:jc w:val="center"/>
        <w:rPr>
          <w:rFonts w:ascii="华文仿宋" w:hAnsi="华文仿宋" w:eastAsia="华文仿宋"/>
          <w:b/>
          <w:sz w:val="28"/>
        </w:rPr>
      </w:pPr>
    </w:p>
    <w:p>
      <w:pPr>
        <w:spacing w:line="360" w:lineRule="auto"/>
        <w:ind w:firstLine="843" w:firstLineChars="300"/>
        <w:rPr>
          <w:rFonts w:ascii="华文仿宋" w:hAnsi="华文仿宋" w:eastAsia="华文仿宋"/>
          <w:b/>
          <w:sz w:val="28"/>
        </w:rPr>
      </w:pPr>
      <w:r>
        <w:rPr>
          <w:rFonts w:ascii="宋体" w:hAnsi="宋体"/>
          <w:b/>
          <w:sz w:val="28"/>
        </w:rPr>
        <w:t>审        核</w:t>
      </w:r>
      <w:r>
        <w:rPr>
          <w:rFonts w:ascii="华文仿宋" w:hAnsi="华文仿宋" w:eastAsia="华文仿宋"/>
          <w:b/>
          <w:sz w:val="28"/>
        </w:rPr>
        <w:t xml:space="preserve">：   </w:t>
      </w:r>
    </w:p>
    <w:p>
      <w:pPr>
        <w:spacing w:line="360" w:lineRule="auto"/>
        <w:jc w:val="center"/>
        <w:rPr>
          <w:rFonts w:ascii="华文仿宋" w:hAnsi="华文仿宋" w:eastAsia="华文仿宋"/>
          <w:b/>
          <w:sz w:val="28"/>
        </w:rPr>
      </w:pPr>
    </w:p>
    <w:p>
      <w:pPr>
        <w:spacing w:line="360" w:lineRule="auto"/>
        <w:ind w:firstLine="843" w:firstLineChars="300"/>
        <w:rPr>
          <w:rFonts w:ascii="华文仿宋" w:hAnsi="华文仿宋" w:eastAsia="华文仿宋"/>
          <w:b/>
          <w:sz w:val="28"/>
        </w:rPr>
      </w:pPr>
      <w:r>
        <w:rPr>
          <w:rFonts w:ascii="宋体" w:hAnsi="宋体"/>
          <w:b/>
          <w:sz w:val="28"/>
        </w:rPr>
        <w:t>校        核</w:t>
      </w:r>
      <w:r>
        <w:rPr>
          <w:rFonts w:ascii="华文仿宋" w:hAnsi="华文仿宋" w:eastAsia="华文仿宋"/>
          <w:b/>
          <w:sz w:val="28"/>
        </w:rPr>
        <w:t xml:space="preserve">：  </w:t>
      </w:r>
    </w:p>
    <w:p>
      <w:pPr>
        <w:spacing w:line="360" w:lineRule="auto"/>
        <w:jc w:val="center"/>
        <w:rPr>
          <w:rFonts w:ascii="华文仿宋" w:hAnsi="华文仿宋" w:eastAsia="华文仿宋"/>
          <w:b/>
          <w:sz w:val="28"/>
        </w:rPr>
      </w:pPr>
    </w:p>
    <w:p>
      <w:pPr>
        <w:spacing w:line="360" w:lineRule="auto"/>
        <w:ind w:firstLine="843" w:firstLineChars="300"/>
        <w:rPr>
          <w:rFonts w:ascii="华文仿宋" w:hAnsi="华文仿宋" w:eastAsia="华文仿宋"/>
          <w:b/>
          <w:sz w:val="28"/>
        </w:rPr>
      </w:pPr>
      <w:r>
        <w:rPr>
          <w:rFonts w:ascii="宋体" w:hAnsi="宋体"/>
          <w:b/>
          <w:sz w:val="28"/>
        </w:rPr>
        <w:t>编        写</w:t>
      </w:r>
      <w:r>
        <w:rPr>
          <w:rFonts w:ascii="华文仿宋" w:hAnsi="华文仿宋" w:eastAsia="华文仿宋"/>
          <w:b/>
          <w:sz w:val="28"/>
        </w:rPr>
        <w:t>：</w:t>
      </w:r>
    </w:p>
    <w:p>
      <w:pPr>
        <w:spacing w:line="360" w:lineRule="auto"/>
        <w:ind w:firstLine="841" w:firstLineChars="300"/>
        <w:rPr>
          <w:rFonts w:ascii="华文仿宋" w:hAnsi="华文仿宋" w:eastAsia="华文仿宋"/>
          <w:b/>
          <w:sz w:val="28"/>
        </w:rPr>
      </w:pPr>
    </w:p>
    <w:p>
      <w:pPr>
        <w:spacing w:line="360" w:lineRule="auto"/>
        <w:ind w:firstLine="841" w:firstLineChars="300"/>
        <w:rPr>
          <w:rFonts w:ascii="华文仿宋" w:hAnsi="华文仿宋" w:eastAsia="华文仿宋"/>
          <w:b/>
          <w:sz w:val="28"/>
        </w:rPr>
      </w:pPr>
    </w:p>
    <w:p>
      <w:pPr>
        <w:spacing w:line="360" w:lineRule="auto"/>
        <w:ind w:firstLine="841" w:firstLineChars="300"/>
        <w:rPr>
          <w:rFonts w:ascii="华文仿宋" w:hAnsi="华文仿宋" w:eastAsia="华文仿宋"/>
          <w:b/>
          <w:sz w:val="28"/>
        </w:rPr>
      </w:pPr>
    </w:p>
    <w:p>
      <w:pPr>
        <w:spacing w:line="360" w:lineRule="auto"/>
        <w:ind w:firstLine="841" w:firstLineChars="300"/>
        <w:rPr>
          <w:rFonts w:ascii="华文仿宋" w:hAnsi="华文仿宋" w:eastAsia="华文仿宋"/>
          <w:b/>
          <w:sz w:val="28"/>
        </w:rPr>
      </w:pPr>
    </w:p>
    <w:p>
      <w:pPr>
        <w:spacing w:line="360" w:lineRule="auto"/>
        <w:ind w:firstLine="841" w:firstLineChars="300"/>
        <w:rPr>
          <w:rFonts w:ascii="华文仿宋" w:hAnsi="华文仿宋" w:eastAsia="华文仿宋"/>
          <w:b/>
          <w:sz w:val="28"/>
        </w:rPr>
      </w:pPr>
    </w:p>
    <w:p>
      <w:pPr>
        <w:spacing w:line="360" w:lineRule="auto"/>
        <w:ind w:firstLine="841" w:firstLineChars="300"/>
        <w:rPr>
          <w:rFonts w:ascii="华文仿宋" w:hAnsi="华文仿宋" w:eastAsia="华文仿宋"/>
          <w:b/>
          <w:sz w:val="28"/>
        </w:rPr>
      </w:pPr>
    </w:p>
    <w:p>
      <w:pPr>
        <w:spacing w:line="360" w:lineRule="auto"/>
        <w:rPr>
          <w:rFonts w:ascii="宋体" w:eastAsia="宋体" w:cs="宋体"/>
          <w:b/>
          <w:kern w:val="0"/>
          <w:sz w:val="24"/>
          <w:szCs w:val="24"/>
        </w:rPr>
      </w:pPr>
    </w:p>
    <w:sdt>
      <w:sdtPr>
        <w:rPr>
          <w:rFonts w:asciiTheme="minorHAnsi" w:hAnsiTheme="minorHAnsi" w:eastAsiaTheme="minorEastAsia" w:cstheme="minorBidi"/>
          <w:color w:val="auto"/>
          <w:kern w:val="2"/>
          <w:sz w:val="21"/>
          <w:szCs w:val="22"/>
          <w:lang w:val="zh-CN"/>
        </w:rPr>
        <w:id w:val="1596436898"/>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20"/>
            <w:jc w:val="center"/>
            <w:rPr>
              <w:color w:val="auto"/>
            </w:rPr>
          </w:pPr>
          <w:r>
            <w:rPr>
              <w:color w:val="auto"/>
              <w:lang w:val="zh-CN"/>
            </w:rPr>
            <w:t>目录</w:t>
          </w:r>
        </w:p>
        <w:p>
          <w:pPr>
            <w:pStyle w:val="10"/>
            <w:tabs>
              <w:tab w:val="right" w:leader="dot" w:pos="8296"/>
            </w:tabs>
          </w:pPr>
          <w:r>
            <w:fldChar w:fldCharType="begin"/>
          </w:r>
          <w:r>
            <w:instrText xml:space="preserve"> TOC \o "1-3" \h \z \u </w:instrText>
          </w:r>
          <w:r>
            <w:fldChar w:fldCharType="separate"/>
          </w:r>
          <w:r>
            <w:fldChar w:fldCharType="begin"/>
          </w:r>
          <w:r>
            <w:instrText xml:space="preserve"> HYPERLINK \l "_Toc490754465" </w:instrText>
          </w:r>
          <w:r>
            <w:fldChar w:fldCharType="separate"/>
          </w:r>
          <w:r>
            <w:rPr>
              <w:rStyle w:val="15"/>
              <w:rFonts w:hint="eastAsia" w:ascii="宋体" w:eastAsia="宋体" w:cs="宋体"/>
              <w:b/>
              <w:kern w:val="0"/>
            </w:rPr>
            <w:t>一、设计依据性文件</w:t>
          </w:r>
          <w:r>
            <w:tab/>
          </w:r>
          <w:r>
            <w:fldChar w:fldCharType="begin"/>
          </w:r>
          <w:r>
            <w:instrText xml:space="preserve"> PAGEREF _Toc490754465 \h </w:instrText>
          </w:r>
          <w:r>
            <w:fldChar w:fldCharType="separate"/>
          </w:r>
          <w:r>
            <w:t>4</w:t>
          </w:r>
          <w:r>
            <w:fldChar w:fldCharType="end"/>
          </w:r>
          <w:r>
            <w:fldChar w:fldCharType="end"/>
          </w:r>
        </w:p>
        <w:p>
          <w:pPr>
            <w:pStyle w:val="10"/>
            <w:tabs>
              <w:tab w:val="right" w:leader="dot" w:pos="8296"/>
            </w:tabs>
          </w:pPr>
          <w:r>
            <w:fldChar w:fldCharType="begin"/>
          </w:r>
          <w:r>
            <w:instrText xml:space="preserve"> HYPERLINK \l "_Toc490754466" </w:instrText>
          </w:r>
          <w:r>
            <w:fldChar w:fldCharType="separate"/>
          </w:r>
          <w:r>
            <w:rPr>
              <w:rStyle w:val="15"/>
              <w:rFonts w:hint="eastAsia" w:ascii="宋体" w:eastAsia="宋体" w:cs="宋体"/>
              <w:b/>
              <w:kern w:val="0"/>
            </w:rPr>
            <w:t>二、工程技术经济指标</w:t>
          </w:r>
          <w:r>
            <w:tab/>
          </w:r>
          <w:r>
            <w:fldChar w:fldCharType="begin"/>
          </w:r>
          <w:r>
            <w:instrText xml:space="preserve"> PAGEREF _Toc490754466 \h </w:instrText>
          </w:r>
          <w:r>
            <w:fldChar w:fldCharType="separate"/>
          </w:r>
          <w:r>
            <w:t>5</w:t>
          </w:r>
          <w:r>
            <w:fldChar w:fldCharType="end"/>
          </w:r>
          <w:r>
            <w:fldChar w:fldCharType="end"/>
          </w:r>
        </w:p>
        <w:p>
          <w:pPr>
            <w:pStyle w:val="10"/>
            <w:tabs>
              <w:tab w:val="right" w:leader="dot" w:pos="8296"/>
            </w:tabs>
          </w:pPr>
          <w:r>
            <w:fldChar w:fldCharType="begin"/>
          </w:r>
          <w:r>
            <w:instrText xml:space="preserve"> HYPERLINK \l "_Toc490754467" </w:instrText>
          </w:r>
          <w:r>
            <w:fldChar w:fldCharType="separate"/>
          </w:r>
          <w:r>
            <w:rPr>
              <w:rStyle w:val="15"/>
              <w:rFonts w:hint="eastAsia" w:ascii="宋体" w:eastAsia="宋体" w:cs="宋体"/>
              <w:b/>
              <w:kern w:val="0"/>
            </w:rPr>
            <w:t>三、工程概况及主要设计内容</w:t>
          </w:r>
          <w:r>
            <w:tab/>
          </w:r>
          <w:r>
            <w:fldChar w:fldCharType="begin"/>
          </w:r>
          <w:r>
            <w:instrText xml:space="preserve"> PAGEREF _Toc490754467 \h </w:instrText>
          </w:r>
          <w:r>
            <w:fldChar w:fldCharType="separate"/>
          </w:r>
          <w:r>
            <w:t>5</w:t>
          </w:r>
          <w:r>
            <w:fldChar w:fldCharType="end"/>
          </w:r>
          <w:r>
            <w:fldChar w:fldCharType="end"/>
          </w:r>
        </w:p>
        <w:p>
          <w:pPr>
            <w:pStyle w:val="11"/>
            <w:tabs>
              <w:tab w:val="right" w:leader="dot" w:pos="8296"/>
            </w:tabs>
          </w:pPr>
          <w:r>
            <w:fldChar w:fldCharType="begin"/>
          </w:r>
          <w:r>
            <w:instrText xml:space="preserve"> HYPERLINK \l "_Toc490754468" </w:instrText>
          </w:r>
          <w:r>
            <w:fldChar w:fldCharType="separate"/>
          </w:r>
          <w:r>
            <w:rPr>
              <w:rStyle w:val="15"/>
              <w:rFonts w:ascii="宋体" w:eastAsia="宋体" w:cs="宋体"/>
              <w:b/>
              <w:kern w:val="0"/>
            </w:rPr>
            <w:t>3.1</w:t>
          </w:r>
          <w:r>
            <w:rPr>
              <w:rStyle w:val="15"/>
              <w:rFonts w:hint="eastAsia" w:ascii="宋体" w:eastAsia="宋体" w:cs="宋体"/>
              <w:b/>
              <w:kern w:val="0"/>
            </w:rPr>
            <w:t>工程概况</w:t>
          </w:r>
          <w:r>
            <w:tab/>
          </w:r>
          <w:r>
            <w:fldChar w:fldCharType="begin"/>
          </w:r>
          <w:r>
            <w:instrText xml:space="preserve"> PAGEREF _Toc490754468 \h </w:instrText>
          </w:r>
          <w:r>
            <w:fldChar w:fldCharType="separate"/>
          </w:r>
          <w:r>
            <w:t>5</w:t>
          </w:r>
          <w:r>
            <w:fldChar w:fldCharType="end"/>
          </w:r>
          <w:r>
            <w:fldChar w:fldCharType="end"/>
          </w:r>
        </w:p>
        <w:p>
          <w:pPr>
            <w:pStyle w:val="11"/>
            <w:tabs>
              <w:tab w:val="right" w:leader="dot" w:pos="8296"/>
            </w:tabs>
          </w:pPr>
          <w:r>
            <w:fldChar w:fldCharType="begin"/>
          </w:r>
          <w:r>
            <w:instrText xml:space="preserve"> HYPERLINK \l "_Toc490754469" </w:instrText>
          </w:r>
          <w:r>
            <w:fldChar w:fldCharType="separate"/>
          </w:r>
          <w:r>
            <w:rPr>
              <w:rStyle w:val="15"/>
              <w:rFonts w:ascii="宋体" w:eastAsia="宋体" w:cs="宋体"/>
              <w:b/>
              <w:kern w:val="0"/>
            </w:rPr>
            <w:t>3.2</w:t>
          </w:r>
          <w:r>
            <w:rPr>
              <w:rStyle w:val="15"/>
              <w:rFonts w:hint="eastAsia" w:ascii="宋体" w:eastAsia="宋体" w:cs="宋体"/>
              <w:b/>
              <w:kern w:val="0"/>
            </w:rPr>
            <w:t>主要设计内容</w:t>
          </w:r>
          <w:r>
            <w:tab/>
          </w:r>
          <w:r>
            <w:fldChar w:fldCharType="begin"/>
          </w:r>
          <w:r>
            <w:instrText xml:space="preserve"> PAGEREF _Toc490754469 \h </w:instrText>
          </w:r>
          <w:r>
            <w:fldChar w:fldCharType="separate"/>
          </w:r>
          <w:r>
            <w:t>5</w:t>
          </w:r>
          <w:r>
            <w:fldChar w:fldCharType="end"/>
          </w:r>
          <w:r>
            <w:fldChar w:fldCharType="end"/>
          </w:r>
        </w:p>
        <w:p>
          <w:pPr>
            <w:pStyle w:val="10"/>
            <w:tabs>
              <w:tab w:val="right" w:leader="dot" w:pos="8296"/>
            </w:tabs>
          </w:pPr>
          <w:r>
            <w:fldChar w:fldCharType="begin"/>
          </w:r>
          <w:r>
            <w:instrText xml:space="preserve"> HYPERLINK \l "_Toc490754470" </w:instrText>
          </w:r>
          <w:r>
            <w:fldChar w:fldCharType="separate"/>
          </w:r>
          <w:r>
            <w:rPr>
              <w:rStyle w:val="15"/>
              <w:rFonts w:hint="eastAsia" w:ascii="宋体" w:eastAsia="宋体" w:cs="宋体"/>
              <w:b/>
              <w:kern w:val="0"/>
            </w:rPr>
            <w:t>四、气象条件</w:t>
          </w:r>
          <w:r>
            <w:tab/>
          </w:r>
          <w:r>
            <w:fldChar w:fldCharType="begin"/>
          </w:r>
          <w:r>
            <w:instrText xml:space="preserve"> PAGEREF _Toc490754470 \h </w:instrText>
          </w:r>
          <w:r>
            <w:fldChar w:fldCharType="separate"/>
          </w:r>
          <w:r>
            <w:t>5</w:t>
          </w:r>
          <w:r>
            <w:fldChar w:fldCharType="end"/>
          </w:r>
          <w:r>
            <w:fldChar w:fldCharType="end"/>
          </w:r>
        </w:p>
        <w:p>
          <w:pPr>
            <w:pStyle w:val="10"/>
            <w:tabs>
              <w:tab w:val="right" w:leader="dot" w:pos="8296"/>
            </w:tabs>
          </w:pPr>
          <w:r>
            <w:fldChar w:fldCharType="begin"/>
          </w:r>
          <w:r>
            <w:instrText xml:space="preserve"> HYPERLINK \l "_Toc490754471" </w:instrText>
          </w:r>
          <w:r>
            <w:fldChar w:fldCharType="separate"/>
          </w:r>
          <w:r>
            <w:rPr>
              <w:rStyle w:val="15"/>
              <w:rFonts w:hint="eastAsia" w:ascii="宋体" w:eastAsia="宋体" w:cs="宋体"/>
              <w:b/>
              <w:kern w:val="0"/>
            </w:rPr>
            <w:t>五、机电部分</w:t>
          </w:r>
          <w:r>
            <w:tab/>
          </w:r>
          <w:r>
            <w:fldChar w:fldCharType="begin"/>
          </w:r>
          <w:r>
            <w:instrText xml:space="preserve"> PAGEREF _Toc490754471 \h </w:instrText>
          </w:r>
          <w:r>
            <w:fldChar w:fldCharType="separate"/>
          </w:r>
          <w:r>
            <w:t>6</w:t>
          </w:r>
          <w:r>
            <w:fldChar w:fldCharType="end"/>
          </w:r>
          <w:r>
            <w:fldChar w:fldCharType="end"/>
          </w:r>
        </w:p>
        <w:p>
          <w:pPr>
            <w:pStyle w:val="11"/>
            <w:tabs>
              <w:tab w:val="right" w:leader="dot" w:pos="8296"/>
            </w:tabs>
          </w:pPr>
          <w:r>
            <w:fldChar w:fldCharType="begin"/>
          </w:r>
          <w:r>
            <w:instrText xml:space="preserve"> HYPERLINK \l "_Toc490754472" </w:instrText>
          </w:r>
          <w:r>
            <w:fldChar w:fldCharType="separate"/>
          </w:r>
          <w:r>
            <w:rPr>
              <w:rStyle w:val="15"/>
              <w:rFonts w:ascii="宋体" w:eastAsia="宋体" w:cs="宋体"/>
              <w:b/>
              <w:kern w:val="0"/>
            </w:rPr>
            <w:t>5.1</w:t>
          </w:r>
          <w:r>
            <w:rPr>
              <w:rStyle w:val="15"/>
              <w:rFonts w:hint="eastAsia" w:ascii="宋体" w:eastAsia="宋体" w:cs="宋体"/>
              <w:b/>
              <w:kern w:val="0"/>
            </w:rPr>
            <w:t>导线型号与截面选取</w:t>
          </w:r>
          <w:r>
            <w:tab/>
          </w:r>
          <w:r>
            <w:fldChar w:fldCharType="begin"/>
          </w:r>
          <w:r>
            <w:instrText xml:space="preserve"> PAGEREF _Toc490754472 \h </w:instrText>
          </w:r>
          <w:r>
            <w:fldChar w:fldCharType="separate"/>
          </w:r>
          <w:r>
            <w:t>6</w:t>
          </w:r>
          <w:r>
            <w:fldChar w:fldCharType="end"/>
          </w:r>
          <w:r>
            <w:fldChar w:fldCharType="end"/>
          </w:r>
        </w:p>
        <w:p>
          <w:pPr>
            <w:pStyle w:val="11"/>
            <w:tabs>
              <w:tab w:val="right" w:leader="dot" w:pos="8296"/>
            </w:tabs>
          </w:pPr>
          <w:r>
            <w:fldChar w:fldCharType="begin"/>
          </w:r>
          <w:r>
            <w:instrText xml:space="preserve"> HYPERLINK \l "_Toc490754473" </w:instrText>
          </w:r>
          <w:r>
            <w:fldChar w:fldCharType="separate"/>
          </w:r>
          <w:r>
            <w:rPr>
              <w:rStyle w:val="15"/>
              <w:rFonts w:ascii="宋体" w:eastAsia="宋体" w:cs="宋体"/>
              <w:b/>
              <w:kern w:val="0"/>
            </w:rPr>
            <w:t>5.2</w:t>
          </w:r>
          <w:r>
            <w:rPr>
              <w:rStyle w:val="15"/>
              <w:rFonts w:hint="eastAsia" w:ascii="宋体" w:eastAsia="宋体" w:cs="宋体"/>
              <w:b/>
              <w:kern w:val="0"/>
            </w:rPr>
            <w:t>导线参数</w:t>
          </w:r>
          <w:r>
            <w:tab/>
          </w:r>
          <w:r>
            <w:fldChar w:fldCharType="begin"/>
          </w:r>
          <w:r>
            <w:instrText xml:space="preserve"> PAGEREF _Toc490754473 \h </w:instrText>
          </w:r>
          <w:r>
            <w:fldChar w:fldCharType="separate"/>
          </w:r>
          <w:r>
            <w:t>6</w:t>
          </w:r>
          <w:r>
            <w:fldChar w:fldCharType="end"/>
          </w:r>
          <w:r>
            <w:fldChar w:fldCharType="end"/>
          </w:r>
        </w:p>
        <w:p>
          <w:pPr>
            <w:pStyle w:val="10"/>
            <w:tabs>
              <w:tab w:val="right" w:leader="dot" w:pos="8296"/>
            </w:tabs>
          </w:pPr>
          <w:r>
            <w:fldChar w:fldCharType="begin"/>
          </w:r>
          <w:r>
            <w:instrText xml:space="preserve"> HYPERLINK \l "_Toc490754474" </w:instrText>
          </w:r>
          <w:r>
            <w:fldChar w:fldCharType="separate"/>
          </w:r>
          <w:r>
            <w:rPr>
              <w:rStyle w:val="15"/>
              <w:rFonts w:hint="eastAsia" w:ascii="宋体" w:eastAsia="宋体" w:cs="宋体"/>
              <w:b/>
              <w:kern w:val="0"/>
            </w:rPr>
            <w:t>六、杆型选取和使用</w:t>
          </w:r>
          <w:r>
            <w:tab/>
          </w:r>
          <w:r>
            <w:fldChar w:fldCharType="begin"/>
          </w:r>
          <w:r>
            <w:instrText xml:space="preserve"> PAGEREF _Toc490754474 \h </w:instrText>
          </w:r>
          <w:r>
            <w:fldChar w:fldCharType="separate"/>
          </w:r>
          <w:r>
            <w:t>7</w:t>
          </w:r>
          <w:r>
            <w:fldChar w:fldCharType="end"/>
          </w:r>
          <w:r>
            <w:fldChar w:fldCharType="end"/>
          </w:r>
        </w:p>
        <w:p>
          <w:pPr>
            <w:pStyle w:val="11"/>
            <w:tabs>
              <w:tab w:val="right" w:leader="dot" w:pos="8296"/>
            </w:tabs>
          </w:pPr>
          <w:r>
            <w:fldChar w:fldCharType="begin"/>
          </w:r>
          <w:r>
            <w:instrText xml:space="preserve"> HYPERLINK \l "_Toc490754475" </w:instrText>
          </w:r>
          <w:r>
            <w:fldChar w:fldCharType="separate"/>
          </w:r>
          <w:r>
            <w:rPr>
              <w:rStyle w:val="15"/>
              <w:rFonts w:ascii="宋体" w:eastAsia="宋体" w:cs="宋体"/>
              <w:b/>
              <w:kern w:val="0"/>
            </w:rPr>
            <w:t>6.1</w:t>
          </w:r>
          <w:r>
            <w:rPr>
              <w:rStyle w:val="15"/>
              <w:rFonts w:hint="eastAsia" w:ascii="宋体" w:eastAsia="宋体" w:cs="宋体"/>
              <w:b/>
              <w:kern w:val="0"/>
            </w:rPr>
            <w:t>杆型分类</w:t>
          </w:r>
          <w:r>
            <w:tab/>
          </w:r>
          <w:r>
            <w:fldChar w:fldCharType="begin"/>
          </w:r>
          <w:r>
            <w:instrText xml:space="preserve"> PAGEREF _Toc490754475 \h </w:instrText>
          </w:r>
          <w:r>
            <w:fldChar w:fldCharType="separate"/>
          </w:r>
          <w:r>
            <w:t>7</w:t>
          </w:r>
          <w:r>
            <w:fldChar w:fldCharType="end"/>
          </w:r>
          <w:r>
            <w:fldChar w:fldCharType="end"/>
          </w:r>
        </w:p>
        <w:p>
          <w:pPr>
            <w:pStyle w:val="11"/>
            <w:tabs>
              <w:tab w:val="right" w:leader="dot" w:pos="8296"/>
            </w:tabs>
          </w:pPr>
          <w:r>
            <w:fldChar w:fldCharType="begin"/>
          </w:r>
          <w:r>
            <w:instrText xml:space="preserve"> HYPERLINK \l "_Toc490754476" </w:instrText>
          </w:r>
          <w:r>
            <w:fldChar w:fldCharType="separate"/>
          </w:r>
          <w:r>
            <w:rPr>
              <w:rStyle w:val="15"/>
              <w:rFonts w:ascii="宋体" w:eastAsia="宋体" w:cs="宋体"/>
              <w:b/>
              <w:kern w:val="0"/>
            </w:rPr>
            <w:t>6.2</w:t>
          </w:r>
          <w:r>
            <w:rPr>
              <w:rStyle w:val="15"/>
              <w:rFonts w:hint="eastAsia" w:ascii="宋体" w:eastAsia="宋体" w:cs="宋体"/>
              <w:b/>
              <w:kern w:val="0"/>
            </w:rPr>
            <w:t>杆塔回路数及排列形式</w:t>
          </w:r>
          <w:r>
            <w:tab/>
          </w:r>
          <w:r>
            <w:fldChar w:fldCharType="begin"/>
          </w:r>
          <w:r>
            <w:instrText xml:space="preserve"> PAGEREF _Toc490754476 \h </w:instrText>
          </w:r>
          <w:r>
            <w:fldChar w:fldCharType="separate"/>
          </w:r>
          <w:r>
            <w:t>7</w:t>
          </w:r>
          <w:r>
            <w:fldChar w:fldCharType="end"/>
          </w:r>
          <w:r>
            <w:fldChar w:fldCharType="end"/>
          </w:r>
        </w:p>
        <w:p>
          <w:pPr>
            <w:pStyle w:val="11"/>
            <w:tabs>
              <w:tab w:val="right" w:leader="dot" w:pos="8296"/>
            </w:tabs>
          </w:pPr>
          <w:r>
            <w:fldChar w:fldCharType="begin"/>
          </w:r>
          <w:r>
            <w:instrText xml:space="preserve"> HYPERLINK \l "_Toc490754477" </w:instrText>
          </w:r>
          <w:r>
            <w:fldChar w:fldCharType="separate"/>
          </w:r>
          <w:r>
            <w:rPr>
              <w:rStyle w:val="15"/>
              <w:rFonts w:ascii="宋体" w:eastAsia="宋体" w:cs="宋体"/>
              <w:b/>
              <w:kern w:val="0"/>
            </w:rPr>
            <w:t>6.3</w:t>
          </w:r>
          <w:r>
            <w:rPr>
              <w:rStyle w:val="15"/>
              <w:rFonts w:hint="eastAsia" w:ascii="宋体" w:eastAsia="宋体" w:cs="宋体"/>
              <w:b/>
              <w:kern w:val="0"/>
            </w:rPr>
            <w:t>本工程使用杆型</w:t>
          </w:r>
          <w:r>
            <w:tab/>
          </w:r>
          <w:r>
            <w:fldChar w:fldCharType="begin"/>
          </w:r>
          <w:r>
            <w:instrText xml:space="preserve"> PAGEREF _Toc490754477 \h </w:instrText>
          </w:r>
          <w:r>
            <w:fldChar w:fldCharType="separate"/>
          </w:r>
          <w:r>
            <w:t>7</w:t>
          </w:r>
          <w:r>
            <w:fldChar w:fldCharType="end"/>
          </w:r>
          <w:r>
            <w:fldChar w:fldCharType="end"/>
          </w:r>
        </w:p>
        <w:p>
          <w:pPr>
            <w:pStyle w:val="10"/>
            <w:tabs>
              <w:tab w:val="right" w:leader="dot" w:pos="8296"/>
            </w:tabs>
          </w:pPr>
          <w:r>
            <w:fldChar w:fldCharType="begin"/>
          </w:r>
          <w:r>
            <w:instrText xml:space="preserve"> HYPERLINK \l "_Toc490754478" </w:instrText>
          </w:r>
          <w:r>
            <w:fldChar w:fldCharType="separate"/>
          </w:r>
          <w:r>
            <w:rPr>
              <w:rStyle w:val="15"/>
              <w:rFonts w:hint="eastAsia" w:ascii="宋体" w:eastAsia="宋体" w:cs="宋体"/>
              <w:b/>
              <w:kern w:val="0"/>
            </w:rPr>
            <w:t>七、基础</w:t>
          </w:r>
          <w:r>
            <w:tab/>
          </w:r>
          <w:r>
            <w:fldChar w:fldCharType="begin"/>
          </w:r>
          <w:r>
            <w:instrText xml:space="preserve"> PAGEREF _Toc490754478 \h </w:instrText>
          </w:r>
          <w:r>
            <w:fldChar w:fldCharType="separate"/>
          </w:r>
          <w:r>
            <w:t>8</w:t>
          </w:r>
          <w:r>
            <w:fldChar w:fldCharType="end"/>
          </w:r>
          <w:r>
            <w:fldChar w:fldCharType="end"/>
          </w:r>
        </w:p>
        <w:p>
          <w:pPr>
            <w:pStyle w:val="11"/>
            <w:tabs>
              <w:tab w:val="right" w:leader="dot" w:pos="8296"/>
            </w:tabs>
          </w:pPr>
          <w:r>
            <w:fldChar w:fldCharType="begin"/>
          </w:r>
          <w:r>
            <w:instrText xml:space="preserve"> HYPERLINK \l "_Toc490754479" </w:instrText>
          </w:r>
          <w:r>
            <w:fldChar w:fldCharType="separate"/>
          </w:r>
          <w:r>
            <w:rPr>
              <w:rStyle w:val="15"/>
              <w:rFonts w:ascii="宋体" w:eastAsia="宋体" w:cs="宋体"/>
              <w:b/>
              <w:kern w:val="0"/>
            </w:rPr>
            <w:t>7.1</w:t>
          </w:r>
          <w:r>
            <w:rPr>
              <w:rStyle w:val="15"/>
              <w:rFonts w:hint="eastAsia" w:ascii="宋体" w:eastAsia="宋体" w:cs="宋体"/>
              <w:b/>
              <w:kern w:val="0"/>
            </w:rPr>
            <w:t>直线水泥单杆基础型式</w:t>
          </w:r>
          <w:r>
            <w:tab/>
          </w:r>
          <w:r>
            <w:fldChar w:fldCharType="begin"/>
          </w:r>
          <w:r>
            <w:instrText xml:space="preserve"> PAGEREF _Toc490754479 \h </w:instrText>
          </w:r>
          <w:r>
            <w:fldChar w:fldCharType="separate"/>
          </w:r>
          <w:r>
            <w:t>8</w:t>
          </w:r>
          <w:r>
            <w:fldChar w:fldCharType="end"/>
          </w:r>
          <w:r>
            <w:fldChar w:fldCharType="end"/>
          </w:r>
        </w:p>
        <w:p>
          <w:pPr>
            <w:pStyle w:val="11"/>
            <w:tabs>
              <w:tab w:val="right" w:leader="dot" w:pos="8296"/>
            </w:tabs>
          </w:pPr>
          <w:r>
            <w:fldChar w:fldCharType="begin"/>
          </w:r>
          <w:r>
            <w:instrText xml:space="preserve"> HYPERLINK \l "_Toc490754480" </w:instrText>
          </w:r>
          <w:r>
            <w:fldChar w:fldCharType="separate"/>
          </w:r>
          <w:r>
            <w:rPr>
              <w:rStyle w:val="15"/>
              <w:rFonts w:ascii="宋体" w:eastAsia="宋体" w:cs="宋体"/>
              <w:b/>
              <w:kern w:val="0"/>
            </w:rPr>
            <w:t>7.2  10kV</w:t>
          </w:r>
          <w:r>
            <w:rPr>
              <w:rStyle w:val="15"/>
              <w:rFonts w:hint="eastAsia" w:ascii="宋体" w:eastAsia="宋体" w:cs="宋体"/>
              <w:b/>
              <w:kern w:val="0"/>
            </w:rPr>
            <w:t>拉线转角水泥单杆基础型式</w:t>
          </w:r>
          <w:r>
            <w:tab/>
          </w:r>
          <w:r>
            <w:fldChar w:fldCharType="begin"/>
          </w:r>
          <w:r>
            <w:instrText xml:space="preserve"> PAGEREF _Toc490754480 \h </w:instrText>
          </w:r>
          <w:r>
            <w:fldChar w:fldCharType="separate"/>
          </w:r>
          <w:r>
            <w:t>8</w:t>
          </w:r>
          <w:r>
            <w:fldChar w:fldCharType="end"/>
          </w:r>
          <w:r>
            <w:fldChar w:fldCharType="end"/>
          </w:r>
        </w:p>
        <w:p>
          <w:pPr>
            <w:pStyle w:val="10"/>
            <w:tabs>
              <w:tab w:val="right" w:leader="dot" w:pos="8296"/>
            </w:tabs>
          </w:pPr>
          <w:r>
            <w:fldChar w:fldCharType="begin"/>
          </w:r>
          <w:r>
            <w:instrText xml:space="preserve"> HYPERLINK \l "_Toc490754481" </w:instrText>
          </w:r>
          <w:r>
            <w:fldChar w:fldCharType="separate"/>
          </w:r>
          <w:r>
            <w:rPr>
              <w:rStyle w:val="15"/>
              <w:rFonts w:hint="eastAsia" w:ascii="宋体" w:eastAsia="宋体" w:cs="宋体"/>
              <w:b/>
              <w:kern w:val="0"/>
            </w:rPr>
            <w:t>八、绝缘配合</w:t>
          </w:r>
          <w:r>
            <w:tab/>
          </w:r>
          <w:r>
            <w:fldChar w:fldCharType="begin"/>
          </w:r>
          <w:r>
            <w:instrText xml:space="preserve"> PAGEREF _Toc490754481 \h </w:instrText>
          </w:r>
          <w:r>
            <w:fldChar w:fldCharType="separate"/>
          </w:r>
          <w:r>
            <w:t>9</w:t>
          </w:r>
          <w:r>
            <w:fldChar w:fldCharType="end"/>
          </w:r>
          <w:r>
            <w:fldChar w:fldCharType="end"/>
          </w:r>
        </w:p>
        <w:p>
          <w:pPr>
            <w:pStyle w:val="11"/>
            <w:tabs>
              <w:tab w:val="right" w:leader="dot" w:pos="8296"/>
            </w:tabs>
          </w:pPr>
          <w:r>
            <w:fldChar w:fldCharType="begin"/>
          </w:r>
          <w:r>
            <w:instrText xml:space="preserve"> HYPERLINK \l "_Toc490754482" </w:instrText>
          </w:r>
          <w:r>
            <w:fldChar w:fldCharType="separate"/>
          </w:r>
          <w:r>
            <w:rPr>
              <w:rStyle w:val="15"/>
              <w:rFonts w:ascii="宋体" w:eastAsia="宋体" w:cs="宋体"/>
              <w:b/>
              <w:kern w:val="0"/>
            </w:rPr>
            <w:t xml:space="preserve">8.1  10kV </w:t>
          </w:r>
          <w:r>
            <w:rPr>
              <w:rStyle w:val="15"/>
              <w:rFonts w:hint="eastAsia" w:ascii="宋体" w:eastAsia="宋体" w:cs="宋体"/>
              <w:b/>
              <w:kern w:val="0"/>
            </w:rPr>
            <w:t>绝缘子选用</w:t>
          </w:r>
          <w:r>
            <w:tab/>
          </w:r>
          <w:r>
            <w:fldChar w:fldCharType="begin"/>
          </w:r>
          <w:r>
            <w:instrText xml:space="preserve"> PAGEREF _Toc490754482 \h </w:instrText>
          </w:r>
          <w:r>
            <w:fldChar w:fldCharType="separate"/>
          </w:r>
          <w:r>
            <w:t>9</w:t>
          </w:r>
          <w:r>
            <w:fldChar w:fldCharType="end"/>
          </w:r>
          <w:r>
            <w:fldChar w:fldCharType="end"/>
          </w:r>
        </w:p>
        <w:p>
          <w:pPr>
            <w:pStyle w:val="11"/>
            <w:tabs>
              <w:tab w:val="right" w:leader="dot" w:pos="8296"/>
            </w:tabs>
          </w:pPr>
          <w:r>
            <w:fldChar w:fldCharType="begin"/>
          </w:r>
          <w:r>
            <w:instrText xml:space="preserve"> HYPERLINK \l "_Toc490754483" </w:instrText>
          </w:r>
          <w:r>
            <w:fldChar w:fldCharType="separate"/>
          </w:r>
          <w:r>
            <w:rPr>
              <w:rStyle w:val="15"/>
              <w:rFonts w:ascii="宋体" w:eastAsia="宋体" w:cs="宋体"/>
              <w:b/>
              <w:kern w:val="0"/>
            </w:rPr>
            <w:t xml:space="preserve">8.2 </w:t>
          </w:r>
          <w:r>
            <w:rPr>
              <w:rStyle w:val="15"/>
              <w:rFonts w:hint="eastAsia" w:ascii="宋体" w:eastAsia="宋体" w:cs="宋体"/>
              <w:b/>
              <w:kern w:val="0"/>
            </w:rPr>
            <w:t>防雷与接地</w:t>
          </w:r>
          <w:r>
            <w:tab/>
          </w:r>
          <w:r>
            <w:fldChar w:fldCharType="begin"/>
          </w:r>
          <w:r>
            <w:instrText xml:space="preserve"> PAGEREF _Toc490754483 \h </w:instrText>
          </w:r>
          <w:r>
            <w:fldChar w:fldCharType="separate"/>
          </w:r>
          <w:r>
            <w:t>10</w:t>
          </w:r>
          <w:r>
            <w:fldChar w:fldCharType="end"/>
          </w:r>
          <w:r>
            <w:fldChar w:fldCharType="end"/>
          </w:r>
        </w:p>
        <w:p>
          <w:pPr>
            <w:pStyle w:val="11"/>
            <w:tabs>
              <w:tab w:val="right" w:leader="dot" w:pos="8296"/>
            </w:tabs>
          </w:pPr>
          <w:r>
            <w:fldChar w:fldCharType="begin"/>
          </w:r>
          <w:r>
            <w:instrText xml:space="preserve"> HYPERLINK \l "_Toc490754484" </w:instrText>
          </w:r>
          <w:r>
            <w:fldChar w:fldCharType="separate"/>
          </w:r>
          <w:r>
            <w:rPr>
              <w:rStyle w:val="15"/>
              <w:rFonts w:ascii="宋体" w:eastAsia="宋体" w:cs="宋体"/>
              <w:b/>
              <w:kern w:val="0"/>
            </w:rPr>
            <w:t xml:space="preserve">8.3 10kV </w:t>
          </w:r>
          <w:r>
            <w:rPr>
              <w:rStyle w:val="15"/>
              <w:rFonts w:hint="eastAsia" w:ascii="宋体" w:eastAsia="宋体" w:cs="宋体"/>
              <w:b/>
              <w:kern w:val="0"/>
            </w:rPr>
            <w:t>金具选用</w:t>
          </w:r>
          <w:r>
            <w:tab/>
          </w:r>
          <w:r>
            <w:fldChar w:fldCharType="begin"/>
          </w:r>
          <w:r>
            <w:instrText xml:space="preserve"> PAGEREF _Toc490754484 \h </w:instrText>
          </w:r>
          <w:r>
            <w:fldChar w:fldCharType="separate"/>
          </w:r>
          <w:r>
            <w:t>12</w:t>
          </w:r>
          <w:r>
            <w:fldChar w:fldCharType="end"/>
          </w:r>
          <w:r>
            <w:fldChar w:fldCharType="end"/>
          </w:r>
        </w:p>
        <w:p>
          <w:pPr>
            <w:pStyle w:val="10"/>
            <w:tabs>
              <w:tab w:val="right" w:leader="dot" w:pos="8296"/>
            </w:tabs>
          </w:pPr>
          <w:r>
            <w:fldChar w:fldCharType="begin"/>
          </w:r>
          <w:r>
            <w:instrText xml:space="preserve"> HYPERLINK \l "_Toc490754485" </w:instrText>
          </w:r>
          <w:r>
            <w:fldChar w:fldCharType="separate"/>
          </w:r>
          <w:r>
            <w:rPr>
              <w:rStyle w:val="15"/>
              <w:rFonts w:hint="eastAsia" w:ascii="宋体" w:eastAsia="宋体" w:cs="宋体"/>
              <w:b/>
              <w:kern w:val="0"/>
            </w:rPr>
            <w:t>九、柱上设备</w:t>
          </w:r>
          <w:r>
            <w:tab/>
          </w:r>
          <w:r>
            <w:fldChar w:fldCharType="begin"/>
          </w:r>
          <w:r>
            <w:instrText xml:space="preserve"> PAGEREF _Toc490754485 \h </w:instrText>
          </w:r>
          <w:r>
            <w:fldChar w:fldCharType="separate"/>
          </w:r>
          <w:r>
            <w:t>12</w:t>
          </w:r>
          <w:r>
            <w:fldChar w:fldCharType="end"/>
          </w:r>
          <w:r>
            <w:fldChar w:fldCharType="end"/>
          </w:r>
        </w:p>
        <w:p>
          <w:pPr>
            <w:pStyle w:val="10"/>
            <w:tabs>
              <w:tab w:val="right" w:leader="dot" w:pos="8296"/>
            </w:tabs>
          </w:pPr>
          <w:r>
            <w:fldChar w:fldCharType="begin"/>
          </w:r>
          <w:r>
            <w:instrText xml:space="preserve"> HYPERLINK \l "_Toc490754486" </w:instrText>
          </w:r>
          <w:r>
            <w:fldChar w:fldCharType="separate"/>
          </w:r>
          <w:r>
            <w:rPr>
              <w:rStyle w:val="15"/>
              <w:rFonts w:hint="eastAsia" w:ascii="宋体" w:eastAsia="宋体" w:cs="宋体"/>
              <w:b/>
              <w:kern w:val="0"/>
            </w:rPr>
            <w:t>十、</w:t>
          </w:r>
          <w:r>
            <w:rPr>
              <w:rStyle w:val="15"/>
              <w:rFonts w:ascii="宋体" w:eastAsia="宋体" w:cs="宋体"/>
              <w:b/>
              <w:kern w:val="0"/>
            </w:rPr>
            <w:t>10kV</w:t>
          </w:r>
          <w:r>
            <w:rPr>
              <w:rStyle w:val="15"/>
              <w:rFonts w:hint="eastAsia" w:ascii="宋体" w:eastAsia="宋体" w:cs="宋体"/>
              <w:b/>
              <w:kern w:val="0"/>
            </w:rPr>
            <w:t>线路标识及警示装置</w:t>
          </w:r>
          <w:r>
            <w:tab/>
          </w:r>
          <w:r>
            <w:fldChar w:fldCharType="begin"/>
          </w:r>
          <w:r>
            <w:instrText xml:space="preserve"> PAGEREF _Toc490754486 \h </w:instrText>
          </w:r>
          <w:r>
            <w:fldChar w:fldCharType="separate"/>
          </w:r>
          <w:r>
            <w:t>13</w:t>
          </w:r>
          <w:r>
            <w:fldChar w:fldCharType="end"/>
          </w:r>
          <w:r>
            <w:fldChar w:fldCharType="end"/>
          </w:r>
        </w:p>
        <w:p>
          <w:pPr>
            <w:pStyle w:val="11"/>
            <w:tabs>
              <w:tab w:val="right" w:leader="dot" w:pos="8296"/>
            </w:tabs>
          </w:pPr>
          <w:r>
            <w:fldChar w:fldCharType="begin"/>
          </w:r>
          <w:r>
            <w:instrText xml:space="preserve"> HYPERLINK \l "_Toc490754487" </w:instrText>
          </w:r>
          <w:r>
            <w:fldChar w:fldCharType="separate"/>
          </w:r>
          <w:r>
            <w:rPr>
              <w:rStyle w:val="15"/>
              <w:rFonts w:ascii="宋体" w:eastAsia="宋体" w:cs="宋体"/>
              <w:b/>
              <w:kern w:val="0"/>
            </w:rPr>
            <w:t>10.1 10kV</w:t>
          </w:r>
          <w:r>
            <w:rPr>
              <w:rStyle w:val="15"/>
              <w:rFonts w:hint="eastAsia" w:ascii="宋体" w:eastAsia="宋体" w:cs="宋体"/>
              <w:b/>
              <w:kern w:val="0"/>
            </w:rPr>
            <w:t>线路标识装置的分类</w:t>
          </w:r>
          <w:r>
            <w:tab/>
          </w:r>
          <w:r>
            <w:fldChar w:fldCharType="begin"/>
          </w:r>
          <w:r>
            <w:instrText xml:space="preserve"> PAGEREF _Toc490754487 \h </w:instrText>
          </w:r>
          <w:r>
            <w:fldChar w:fldCharType="separate"/>
          </w:r>
          <w:r>
            <w:t>13</w:t>
          </w:r>
          <w:r>
            <w:fldChar w:fldCharType="end"/>
          </w:r>
          <w:r>
            <w:fldChar w:fldCharType="end"/>
          </w:r>
        </w:p>
        <w:p>
          <w:pPr>
            <w:pStyle w:val="11"/>
            <w:tabs>
              <w:tab w:val="right" w:leader="dot" w:pos="8296"/>
            </w:tabs>
          </w:pPr>
          <w:r>
            <w:fldChar w:fldCharType="begin"/>
          </w:r>
          <w:r>
            <w:instrText xml:space="preserve"> HYPERLINK \l "_Toc490754488" </w:instrText>
          </w:r>
          <w:r>
            <w:fldChar w:fldCharType="separate"/>
          </w:r>
          <w:r>
            <w:rPr>
              <w:rStyle w:val="15"/>
              <w:rFonts w:ascii="宋体" w:eastAsia="宋体" w:cs="宋体"/>
              <w:b/>
              <w:kern w:val="0"/>
            </w:rPr>
            <w:t>10.2 10kV</w:t>
          </w:r>
          <w:r>
            <w:rPr>
              <w:rStyle w:val="15"/>
              <w:rFonts w:hint="eastAsia" w:ascii="宋体" w:eastAsia="宋体" w:cs="宋体"/>
              <w:b/>
              <w:kern w:val="0"/>
            </w:rPr>
            <w:t>线路警示装置的分类</w:t>
          </w:r>
          <w:r>
            <w:tab/>
          </w:r>
          <w:r>
            <w:fldChar w:fldCharType="begin"/>
          </w:r>
          <w:r>
            <w:instrText xml:space="preserve"> PAGEREF _Toc490754488 \h </w:instrText>
          </w:r>
          <w:r>
            <w:fldChar w:fldCharType="separate"/>
          </w:r>
          <w:r>
            <w:t>13</w:t>
          </w:r>
          <w:r>
            <w:fldChar w:fldCharType="end"/>
          </w:r>
          <w:r>
            <w:fldChar w:fldCharType="end"/>
          </w:r>
        </w:p>
        <w:p>
          <w:pPr>
            <w:pStyle w:val="11"/>
            <w:tabs>
              <w:tab w:val="right" w:leader="dot" w:pos="8296"/>
            </w:tabs>
          </w:pPr>
          <w:r>
            <w:fldChar w:fldCharType="begin"/>
          </w:r>
          <w:r>
            <w:instrText xml:space="preserve"> HYPERLINK \l "_Toc490754489" </w:instrText>
          </w:r>
          <w:r>
            <w:fldChar w:fldCharType="separate"/>
          </w:r>
          <w:r>
            <w:rPr>
              <w:rStyle w:val="15"/>
              <w:rFonts w:ascii="宋体" w:eastAsia="宋体" w:cs="宋体"/>
              <w:b/>
              <w:kern w:val="0"/>
            </w:rPr>
            <w:t xml:space="preserve">10.3 </w:t>
          </w:r>
          <w:r>
            <w:rPr>
              <w:rStyle w:val="15"/>
              <w:rFonts w:hint="eastAsia" w:ascii="宋体" w:eastAsia="宋体" w:cs="宋体"/>
              <w:b/>
              <w:kern w:val="0"/>
            </w:rPr>
            <w:t>线路标识及警示装置的安装要求</w:t>
          </w:r>
          <w:r>
            <w:tab/>
          </w:r>
          <w:r>
            <w:fldChar w:fldCharType="begin"/>
          </w:r>
          <w:r>
            <w:instrText xml:space="preserve"> PAGEREF _Toc490754489 \h </w:instrText>
          </w:r>
          <w:r>
            <w:fldChar w:fldCharType="separate"/>
          </w:r>
          <w:r>
            <w:t>13</w:t>
          </w:r>
          <w:r>
            <w:fldChar w:fldCharType="end"/>
          </w:r>
          <w:r>
            <w:fldChar w:fldCharType="end"/>
          </w:r>
        </w:p>
        <w:p>
          <w:pPr>
            <w:pStyle w:val="10"/>
            <w:tabs>
              <w:tab w:val="right" w:leader="dot" w:pos="8296"/>
            </w:tabs>
          </w:pPr>
          <w:r>
            <w:fldChar w:fldCharType="begin"/>
          </w:r>
          <w:r>
            <w:instrText xml:space="preserve"> HYPERLINK \l "_Toc490754490" </w:instrText>
          </w:r>
          <w:r>
            <w:fldChar w:fldCharType="separate"/>
          </w:r>
          <w:r>
            <w:rPr>
              <w:rStyle w:val="15"/>
              <w:rFonts w:hint="eastAsia" w:ascii="宋体" w:eastAsia="宋体" w:cs="宋体"/>
              <w:b/>
              <w:kern w:val="0"/>
            </w:rPr>
            <w:t>十一、电缆部分</w:t>
          </w:r>
          <w:r>
            <w:tab/>
          </w:r>
          <w:r>
            <w:fldChar w:fldCharType="begin"/>
          </w:r>
          <w:r>
            <w:instrText xml:space="preserve"> PAGEREF _Toc490754490 \h </w:instrText>
          </w:r>
          <w:r>
            <w:fldChar w:fldCharType="separate"/>
          </w:r>
          <w:r>
            <w:t>14</w:t>
          </w:r>
          <w:r>
            <w:fldChar w:fldCharType="end"/>
          </w:r>
          <w:r>
            <w:fldChar w:fldCharType="end"/>
          </w:r>
        </w:p>
        <w:p>
          <w:pPr>
            <w:pStyle w:val="11"/>
            <w:tabs>
              <w:tab w:val="right" w:leader="dot" w:pos="8296"/>
            </w:tabs>
          </w:pPr>
          <w:r>
            <w:fldChar w:fldCharType="begin"/>
          </w:r>
          <w:r>
            <w:instrText xml:space="preserve"> HYPERLINK \l "_Toc490754491" </w:instrText>
          </w:r>
          <w:r>
            <w:fldChar w:fldCharType="separate"/>
          </w:r>
          <w:r>
            <w:rPr>
              <w:rStyle w:val="15"/>
              <w:rFonts w:ascii="宋体" w:eastAsia="宋体" w:cs="宋体"/>
              <w:b/>
              <w:kern w:val="0"/>
            </w:rPr>
            <w:t>11.1</w:t>
          </w:r>
          <w:r>
            <w:rPr>
              <w:rStyle w:val="15"/>
              <w:rFonts w:hint="eastAsia" w:ascii="宋体" w:eastAsia="宋体" w:cs="宋体"/>
              <w:b/>
              <w:kern w:val="0"/>
            </w:rPr>
            <w:t>电缆电气部分</w:t>
          </w:r>
          <w:r>
            <w:tab/>
          </w:r>
          <w:r>
            <w:fldChar w:fldCharType="begin"/>
          </w:r>
          <w:r>
            <w:instrText xml:space="preserve"> PAGEREF _Toc490754491 \h </w:instrText>
          </w:r>
          <w:r>
            <w:fldChar w:fldCharType="separate"/>
          </w:r>
          <w:r>
            <w:t>14</w:t>
          </w:r>
          <w:r>
            <w:fldChar w:fldCharType="end"/>
          </w:r>
          <w:r>
            <w:fldChar w:fldCharType="end"/>
          </w:r>
        </w:p>
        <w:p>
          <w:pPr>
            <w:pStyle w:val="6"/>
            <w:tabs>
              <w:tab w:val="right" w:leader="dot" w:pos="8296"/>
            </w:tabs>
          </w:pPr>
          <w:r>
            <w:fldChar w:fldCharType="begin"/>
          </w:r>
          <w:r>
            <w:instrText xml:space="preserve"> HYPERLINK \l "_Toc490754492" </w:instrText>
          </w:r>
          <w:r>
            <w:fldChar w:fldCharType="separate"/>
          </w:r>
          <w:r>
            <w:rPr>
              <w:rStyle w:val="15"/>
              <w:rFonts w:ascii="宋体" w:eastAsia="宋体" w:cs="宋体"/>
              <w:kern w:val="0"/>
            </w:rPr>
            <w:t>11.1.1</w:t>
          </w:r>
          <w:r>
            <w:rPr>
              <w:rStyle w:val="15"/>
              <w:rFonts w:hint="eastAsia" w:ascii="宋体" w:eastAsia="宋体" w:cs="宋体"/>
              <w:kern w:val="0"/>
            </w:rPr>
            <w:t>环境条件选择</w:t>
          </w:r>
          <w:r>
            <w:tab/>
          </w:r>
          <w:r>
            <w:fldChar w:fldCharType="begin"/>
          </w:r>
          <w:r>
            <w:instrText xml:space="preserve"> PAGEREF _Toc490754492 \h </w:instrText>
          </w:r>
          <w:r>
            <w:fldChar w:fldCharType="separate"/>
          </w:r>
          <w:r>
            <w:t>14</w:t>
          </w:r>
          <w:r>
            <w:fldChar w:fldCharType="end"/>
          </w:r>
          <w:r>
            <w:fldChar w:fldCharType="end"/>
          </w:r>
        </w:p>
        <w:p>
          <w:pPr>
            <w:pStyle w:val="6"/>
            <w:tabs>
              <w:tab w:val="right" w:leader="dot" w:pos="8296"/>
            </w:tabs>
          </w:pPr>
          <w:r>
            <w:fldChar w:fldCharType="begin"/>
          </w:r>
          <w:r>
            <w:instrText xml:space="preserve"> HYPERLINK \l "_Toc490754493" </w:instrText>
          </w:r>
          <w:r>
            <w:fldChar w:fldCharType="separate"/>
          </w:r>
          <w:r>
            <w:rPr>
              <w:rStyle w:val="15"/>
              <w:rFonts w:ascii="宋体" w:eastAsia="宋体" w:cs="宋体"/>
              <w:kern w:val="0"/>
            </w:rPr>
            <w:t>11.1.2</w:t>
          </w:r>
          <w:r>
            <w:rPr>
              <w:rStyle w:val="15"/>
              <w:rFonts w:hint="eastAsia" w:ascii="宋体" w:eastAsia="宋体" w:cs="宋体"/>
              <w:kern w:val="0"/>
            </w:rPr>
            <w:t>运行条件选择</w:t>
          </w:r>
          <w:r>
            <w:tab/>
          </w:r>
          <w:r>
            <w:fldChar w:fldCharType="begin"/>
          </w:r>
          <w:r>
            <w:instrText xml:space="preserve"> PAGEREF _Toc490754493 \h </w:instrText>
          </w:r>
          <w:r>
            <w:fldChar w:fldCharType="separate"/>
          </w:r>
          <w:r>
            <w:t>15</w:t>
          </w:r>
          <w:r>
            <w:fldChar w:fldCharType="end"/>
          </w:r>
          <w:r>
            <w:fldChar w:fldCharType="end"/>
          </w:r>
        </w:p>
        <w:p>
          <w:pPr>
            <w:pStyle w:val="6"/>
            <w:tabs>
              <w:tab w:val="right" w:leader="dot" w:pos="8296"/>
            </w:tabs>
          </w:pPr>
          <w:r>
            <w:fldChar w:fldCharType="begin"/>
          </w:r>
          <w:r>
            <w:instrText xml:space="preserve"> HYPERLINK \l "_Toc490754494" </w:instrText>
          </w:r>
          <w:r>
            <w:fldChar w:fldCharType="separate"/>
          </w:r>
          <w:r>
            <w:rPr>
              <w:rStyle w:val="15"/>
              <w:rFonts w:ascii="宋体" w:eastAsia="宋体" w:cs="宋体"/>
              <w:kern w:val="0"/>
            </w:rPr>
            <w:t>11.1.3</w:t>
          </w:r>
          <w:r>
            <w:rPr>
              <w:rStyle w:val="15"/>
              <w:rFonts w:hint="eastAsia" w:ascii="宋体" w:eastAsia="宋体" w:cs="宋体"/>
              <w:kern w:val="0"/>
            </w:rPr>
            <w:t>电缆选择原则</w:t>
          </w:r>
          <w:r>
            <w:tab/>
          </w:r>
          <w:r>
            <w:fldChar w:fldCharType="begin"/>
          </w:r>
          <w:r>
            <w:instrText xml:space="preserve"> PAGEREF _Toc490754494 \h </w:instrText>
          </w:r>
          <w:r>
            <w:fldChar w:fldCharType="separate"/>
          </w:r>
          <w:r>
            <w:t>15</w:t>
          </w:r>
          <w:r>
            <w:fldChar w:fldCharType="end"/>
          </w:r>
          <w:r>
            <w:fldChar w:fldCharType="end"/>
          </w:r>
        </w:p>
        <w:p>
          <w:pPr>
            <w:pStyle w:val="6"/>
            <w:tabs>
              <w:tab w:val="right" w:leader="dot" w:pos="8296"/>
            </w:tabs>
          </w:pPr>
          <w:r>
            <w:fldChar w:fldCharType="begin"/>
          </w:r>
          <w:r>
            <w:instrText xml:space="preserve"> HYPERLINK \l "_Toc490754495" </w:instrText>
          </w:r>
          <w:r>
            <w:fldChar w:fldCharType="separate"/>
          </w:r>
          <w:r>
            <w:rPr>
              <w:rStyle w:val="15"/>
              <w:rFonts w:ascii="宋体" w:eastAsia="宋体" w:cs="宋体"/>
              <w:kern w:val="0"/>
            </w:rPr>
            <w:t>11.1.4</w:t>
          </w:r>
          <w:r>
            <w:rPr>
              <w:rStyle w:val="15"/>
              <w:rFonts w:hint="eastAsia" w:ascii="宋体" w:eastAsia="宋体" w:cs="宋体"/>
              <w:kern w:val="0"/>
            </w:rPr>
            <w:t>电缆型号及使用范围</w:t>
          </w:r>
          <w:r>
            <w:tab/>
          </w:r>
          <w:r>
            <w:fldChar w:fldCharType="begin"/>
          </w:r>
          <w:r>
            <w:instrText xml:space="preserve"> PAGEREF _Toc490754495 \h </w:instrText>
          </w:r>
          <w:r>
            <w:fldChar w:fldCharType="separate"/>
          </w:r>
          <w:r>
            <w:t>15</w:t>
          </w:r>
          <w:r>
            <w:fldChar w:fldCharType="end"/>
          </w:r>
          <w:r>
            <w:fldChar w:fldCharType="end"/>
          </w:r>
        </w:p>
        <w:p>
          <w:pPr>
            <w:pStyle w:val="6"/>
            <w:tabs>
              <w:tab w:val="right" w:leader="dot" w:pos="8296"/>
            </w:tabs>
          </w:pPr>
          <w:r>
            <w:fldChar w:fldCharType="begin"/>
          </w:r>
          <w:r>
            <w:instrText xml:space="preserve"> HYPERLINK \l "_Toc490754496" </w:instrText>
          </w:r>
          <w:r>
            <w:fldChar w:fldCharType="separate"/>
          </w:r>
          <w:r>
            <w:rPr>
              <w:rStyle w:val="15"/>
              <w:rFonts w:ascii="宋体" w:eastAsia="宋体" w:cs="宋体"/>
              <w:kern w:val="0"/>
            </w:rPr>
            <w:t>11.1.5</w:t>
          </w:r>
          <w:r>
            <w:rPr>
              <w:rStyle w:val="15"/>
              <w:rFonts w:hint="eastAsia" w:ascii="宋体" w:eastAsia="宋体" w:cs="宋体"/>
              <w:kern w:val="0"/>
            </w:rPr>
            <w:t>电缆绝缘屏蔽或金属护套、铠装、外护套选择</w:t>
          </w:r>
          <w:r>
            <w:tab/>
          </w:r>
          <w:r>
            <w:fldChar w:fldCharType="begin"/>
          </w:r>
          <w:r>
            <w:instrText xml:space="preserve"> PAGEREF _Toc490754496 \h </w:instrText>
          </w:r>
          <w:r>
            <w:fldChar w:fldCharType="separate"/>
          </w:r>
          <w:r>
            <w:t>15</w:t>
          </w:r>
          <w:r>
            <w:fldChar w:fldCharType="end"/>
          </w:r>
          <w:r>
            <w:fldChar w:fldCharType="end"/>
          </w:r>
        </w:p>
        <w:p>
          <w:pPr>
            <w:pStyle w:val="6"/>
            <w:tabs>
              <w:tab w:val="right" w:leader="dot" w:pos="8296"/>
            </w:tabs>
          </w:pPr>
          <w:r>
            <w:fldChar w:fldCharType="begin"/>
          </w:r>
          <w:r>
            <w:instrText xml:space="preserve"> HYPERLINK \l "_Toc490754497" </w:instrText>
          </w:r>
          <w:r>
            <w:fldChar w:fldCharType="separate"/>
          </w:r>
          <w:r>
            <w:rPr>
              <w:rStyle w:val="15"/>
              <w:rFonts w:ascii="宋体" w:eastAsia="宋体" w:cs="宋体"/>
              <w:kern w:val="0"/>
            </w:rPr>
            <w:t>11.1.6</w:t>
          </w:r>
          <w:r>
            <w:rPr>
              <w:rStyle w:val="15"/>
              <w:rFonts w:hint="eastAsia" w:ascii="宋体" w:eastAsia="宋体" w:cs="宋体"/>
              <w:kern w:val="0"/>
            </w:rPr>
            <w:t>电缆截面选择</w:t>
          </w:r>
          <w:r>
            <w:tab/>
          </w:r>
          <w:r>
            <w:fldChar w:fldCharType="begin"/>
          </w:r>
          <w:r>
            <w:instrText xml:space="preserve"> PAGEREF _Toc490754497 \h </w:instrText>
          </w:r>
          <w:r>
            <w:fldChar w:fldCharType="separate"/>
          </w:r>
          <w:r>
            <w:t>16</w:t>
          </w:r>
          <w:r>
            <w:fldChar w:fldCharType="end"/>
          </w:r>
          <w:r>
            <w:fldChar w:fldCharType="end"/>
          </w:r>
        </w:p>
        <w:p>
          <w:pPr>
            <w:pStyle w:val="11"/>
            <w:tabs>
              <w:tab w:val="right" w:leader="dot" w:pos="8296"/>
            </w:tabs>
          </w:pPr>
          <w:r>
            <w:fldChar w:fldCharType="begin"/>
          </w:r>
          <w:r>
            <w:instrText xml:space="preserve"> HYPERLINK \l "_Toc490754498" </w:instrText>
          </w:r>
          <w:r>
            <w:fldChar w:fldCharType="separate"/>
          </w:r>
          <w:r>
            <w:rPr>
              <w:rStyle w:val="15"/>
              <w:rFonts w:ascii="宋体" w:eastAsia="宋体" w:cs="宋体"/>
              <w:b/>
              <w:kern w:val="0"/>
            </w:rPr>
            <w:t>11.2</w:t>
          </w:r>
          <w:r>
            <w:rPr>
              <w:rStyle w:val="15"/>
              <w:rFonts w:hint="eastAsia" w:ascii="宋体" w:eastAsia="宋体" w:cs="宋体"/>
              <w:b/>
              <w:kern w:val="0"/>
            </w:rPr>
            <w:t>电缆附件选择</w:t>
          </w:r>
          <w:r>
            <w:tab/>
          </w:r>
          <w:r>
            <w:fldChar w:fldCharType="begin"/>
          </w:r>
          <w:r>
            <w:instrText xml:space="preserve"> PAGEREF _Toc490754498 \h </w:instrText>
          </w:r>
          <w:r>
            <w:fldChar w:fldCharType="separate"/>
          </w:r>
          <w:r>
            <w:t>17</w:t>
          </w:r>
          <w:r>
            <w:fldChar w:fldCharType="end"/>
          </w:r>
          <w:r>
            <w:fldChar w:fldCharType="end"/>
          </w:r>
        </w:p>
        <w:p>
          <w:pPr>
            <w:pStyle w:val="11"/>
            <w:tabs>
              <w:tab w:val="right" w:leader="dot" w:pos="8296"/>
            </w:tabs>
          </w:pPr>
          <w:r>
            <w:fldChar w:fldCharType="begin"/>
          </w:r>
          <w:r>
            <w:instrText xml:space="preserve"> HYPERLINK \l "_Toc490754499" </w:instrText>
          </w:r>
          <w:r>
            <w:fldChar w:fldCharType="separate"/>
          </w:r>
          <w:r>
            <w:rPr>
              <w:rStyle w:val="15"/>
              <w:rFonts w:ascii="宋体" w:eastAsia="宋体" w:cs="宋体"/>
              <w:b/>
              <w:kern w:val="0"/>
            </w:rPr>
            <w:t>11.3</w:t>
          </w:r>
          <w:r>
            <w:rPr>
              <w:rStyle w:val="15"/>
              <w:rFonts w:hint="eastAsia" w:ascii="宋体" w:eastAsia="宋体" w:cs="宋体"/>
              <w:b/>
              <w:kern w:val="0"/>
            </w:rPr>
            <w:t>电缆土建部分</w:t>
          </w:r>
          <w:r>
            <w:tab/>
          </w:r>
          <w:r>
            <w:fldChar w:fldCharType="begin"/>
          </w:r>
          <w:r>
            <w:instrText xml:space="preserve"> PAGEREF _Toc490754499 \h </w:instrText>
          </w:r>
          <w:r>
            <w:fldChar w:fldCharType="separate"/>
          </w:r>
          <w:r>
            <w:t>18</w:t>
          </w:r>
          <w:r>
            <w:fldChar w:fldCharType="end"/>
          </w:r>
          <w:r>
            <w:fldChar w:fldCharType="end"/>
          </w:r>
        </w:p>
        <w:p>
          <w:pPr>
            <w:pStyle w:val="6"/>
            <w:tabs>
              <w:tab w:val="right" w:leader="dot" w:pos="8296"/>
            </w:tabs>
          </w:pPr>
          <w:r>
            <w:fldChar w:fldCharType="begin"/>
          </w:r>
          <w:r>
            <w:instrText xml:space="preserve"> HYPERLINK \l "_Toc490754500" </w:instrText>
          </w:r>
          <w:r>
            <w:fldChar w:fldCharType="separate"/>
          </w:r>
          <w:r>
            <w:rPr>
              <w:rStyle w:val="15"/>
              <w:rFonts w:ascii="宋体" w:eastAsia="宋体" w:cs="宋体"/>
              <w:kern w:val="0"/>
            </w:rPr>
            <w:t>11.3.1</w:t>
          </w:r>
          <w:r>
            <w:rPr>
              <w:rStyle w:val="15"/>
              <w:rFonts w:hint="eastAsia" w:ascii="宋体" w:eastAsia="宋体" w:cs="宋体"/>
              <w:kern w:val="0"/>
            </w:rPr>
            <w:t>荷载选定</w:t>
          </w:r>
          <w:r>
            <w:tab/>
          </w:r>
          <w:r>
            <w:fldChar w:fldCharType="begin"/>
          </w:r>
          <w:r>
            <w:instrText xml:space="preserve"> PAGEREF _Toc490754500 \h </w:instrText>
          </w:r>
          <w:r>
            <w:fldChar w:fldCharType="separate"/>
          </w:r>
          <w:r>
            <w:t>18</w:t>
          </w:r>
          <w:r>
            <w:fldChar w:fldCharType="end"/>
          </w:r>
          <w:r>
            <w:fldChar w:fldCharType="end"/>
          </w:r>
        </w:p>
        <w:p>
          <w:pPr>
            <w:pStyle w:val="6"/>
            <w:tabs>
              <w:tab w:val="right" w:leader="dot" w:pos="8296"/>
            </w:tabs>
          </w:pPr>
          <w:r>
            <w:fldChar w:fldCharType="begin"/>
          </w:r>
          <w:r>
            <w:instrText xml:space="preserve"> HYPERLINK \l "_Toc490754501" </w:instrText>
          </w:r>
          <w:r>
            <w:fldChar w:fldCharType="separate"/>
          </w:r>
          <w:r>
            <w:rPr>
              <w:rStyle w:val="15"/>
              <w:rFonts w:ascii="宋体" w:eastAsia="宋体" w:cs="宋体"/>
              <w:kern w:val="0"/>
            </w:rPr>
            <w:t>11.3.2</w:t>
          </w:r>
          <w:r>
            <w:rPr>
              <w:rStyle w:val="15"/>
              <w:rFonts w:hint="eastAsia" w:ascii="宋体" w:eastAsia="宋体" w:cs="宋体"/>
              <w:kern w:val="0"/>
            </w:rPr>
            <w:t>地质条件</w:t>
          </w:r>
          <w:r>
            <w:tab/>
          </w:r>
          <w:r>
            <w:fldChar w:fldCharType="begin"/>
          </w:r>
          <w:r>
            <w:instrText xml:space="preserve"> PAGEREF _Toc490754501 \h </w:instrText>
          </w:r>
          <w:r>
            <w:fldChar w:fldCharType="separate"/>
          </w:r>
          <w:r>
            <w:t>18</w:t>
          </w:r>
          <w:r>
            <w:fldChar w:fldCharType="end"/>
          </w:r>
          <w:r>
            <w:fldChar w:fldCharType="end"/>
          </w:r>
        </w:p>
        <w:p>
          <w:pPr>
            <w:pStyle w:val="11"/>
            <w:tabs>
              <w:tab w:val="right" w:leader="dot" w:pos="8296"/>
            </w:tabs>
          </w:pPr>
          <w:r>
            <w:fldChar w:fldCharType="begin"/>
          </w:r>
          <w:r>
            <w:instrText xml:space="preserve"> HYPERLINK \l "_Toc490754502" </w:instrText>
          </w:r>
          <w:r>
            <w:fldChar w:fldCharType="separate"/>
          </w:r>
          <w:r>
            <w:rPr>
              <w:rStyle w:val="15"/>
              <w:rFonts w:ascii="宋体" w:eastAsia="宋体" w:cs="宋体"/>
              <w:b/>
              <w:kern w:val="0"/>
            </w:rPr>
            <w:t>11.4</w:t>
          </w:r>
          <w:r>
            <w:rPr>
              <w:rStyle w:val="15"/>
              <w:rFonts w:hint="eastAsia" w:ascii="宋体" w:eastAsia="宋体" w:cs="宋体"/>
              <w:b/>
              <w:kern w:val="0"/>
            </w:rPr>
            <w:t>电缆防火</w:t>
          </w:r>
          <w:r>
            <w:tab/>
          </w:r>
          <w:r>
            <w:fldChar w:fldCharType="begin"/>
          </w:r>
          <w:r>
            <w:instrText xml:space="preserve"> PAGEREF _Toc490754502 \h </w:instrText>
          </w:r>
          <w:r>
            <w:fldChar w:fldCharType="separate"/>
          </w:r>
          <w:r>
            <w:t>19</w:t>
          </w:r>
          <w:r>
            <w:fldChar w:fldCharType="end"/>
          </w:r>
          <w:r>
            <w:fldChar w:fldCharType="end"/>
          </w:r>
        </w:p>
        <w:p>
          <w:pPr>
            <w:pStyle w:val="11"/>
            <w:tabs>
              <w:tab w:val="right" w:leader="dot" w:pos="8296"/>
            </w:tabs>
          </w:pPr>
          <w:r>
            <w:fldChar w:fldCharType="begin"/>
          </w:r>
          <w:r>
            <w:instrText xml:space="preserve"> HYPERLINK \l "_Toc490754503" </w:instrText>
          </w:r>
          <w:r>
            <w:fldChar w:fldCharType="separate"/>
          </w:r>
          <w:r>
            <w:rPr>
              <w:rStyle w:val="15"/>
              <w:rFonts w:ascii="宋体" w:eastAsia="宋体" w:cs="宋体"/>
              <w:b/>
              <w:kern w:val="0"/>
            </w:rPr>
            <w:t>11.5</w:t>
          </w:r>
          <w:r>
            <w:rPr>
              <w:rStyle w:val="15"/>
              <w:rFonts w:hint="eastAsia" w:ascii="宋体" w:eastAsia="宋体" w:cs="宋体"/>
              <w:b/>
              <w:kern w:val="0"/>
            </w:rPr>
            <w:t>标志</w:t>
          </w:r>
          <w:r>
            <w:tab/>
          </w:r>
          <w:r>
            <w:fldChar w:fldCharType="begin"/>
          </w:r>
          <w:r>
            <w:instrText xml:space="preserve"> PAGEREF _Toc490754503 \h </w:instrText>
          </w:r>
          <w:r>
            <w:fldChar w:fldCharType="separate"/>
          </w:r>
          <w:r>
            <w:t>19</w:t>
          </w:r>
          <w:r>
            <w:fldChar w:fldCharType="end"/>
          </w:r>
          <w:r>
            <w:fldChar w:fldCharType="end"/>
          </w:r>
        </w:p>
        <w:p>
          <w:pPr>
            <w:pStyle w:val="10"/>
            <w:tabs>
              <w:tab w:val="right" w:leader="dot" w:pos="8296"/>
            </w:tabs>
          </w:pPr>
          <w:r>
            <w:fldChar w:fldCharType="begin"/>
          </w:r>
          <w:r>
            <w:instrText xml:space="preserve"> HYPERLINK \l "_Toc490754504" </w:instrText>
          </w:r>
          <w:r>
            <w:fldChar w:fldCharType="separate"/>
          </w:r>
          <w:r>
            <w:rPr>
              <w:rStyle w:val="15"/>
              <w:rFonts w:hint="eastAsia" w:ascii="宋体" w:eastAsia="宋体" w:cs="宋体"/>
              <w:b/>
              <w:kern w:val="0"/>
            </w:rPr>
            <w:t>十二、其他注意事项</w:t>
          </w:r>
          <w:r>
            <w:tab/>
          </w:r>
          <w:r>
            <w:fldChar w:fldCharType="begin"/>
          </w:r>
          <w:r>
            <w:instrText xml:space="preserve"> PAGEREF _Toc490754504 \h </w:instrText>
          </w:r>
          <w:r>
            <w:fldChar w:fldCharType="separate"/>
          </w:r>
          <w:r>
            <w:t>22</w:t>
          </w:r>
          <w:r>
            <w:fldChar w:fldCharType="end"/>
          </w:r>
          <w:r>
            <w:fldChar w:fldCharType="end"/>
          </w:r>
        </w:p>
        <w:p>
          <w:r>
            <w:rPr>
              <w:b/>
              <w:bCs/>
              <w:lang w:val="zh-CN"/>
            </w:rPr>
            <w:fldChar w:fldCharType="end"/>
          </w:r>
        </w:p>
      </w:sdtContent>
    </w:sdt>
    <w:p>
      <w:pPr>
        <w:spacing w:line="360" w:lineRule="auto"/>
        <w:outlineLvl w:val="0"/>
        <w:rPr>
          <w:rFonts w:ascii="宋体" w:eastAsia="宋体" w:cs="宋体"/>
          <w:b/>
          <w:kern w:val="0"/>
          <w:sz w:val="24"/>
          <w:szCs w:val="24"/>
        </w:rPr>
        <w:sectPr>
          <w:headerReference r:id="rId6" w:type="default"/>
          <w:footerReference r:id="rId7" w:type="default"/>
          <w:pgSz w:w="11906" w:h="16838"/>
          <w:pgMar w:top="1440" w:right="1800" w:bottom="1440" w:left="1800" w:header="851" w:footer="992" w:gutter="0"/>
          <w:cols w:space="425" w:num="1"/>
          <w:docGrid w:type="lines" w:linePitch="312" w:charSpace="0"/>
        </w:sectPr>
      </w:pPr>
    </w:p>
    <w:p>
      <w:pPr>
        <w:spacing w:line="360" w:lineRule="auto"/>
        <w:outlineLvl w:val="0"/>
        <w:rPr>
          <w:rFonts w:ascii="宋体" w:eastAsia="宋体" w:cs="宋体"/>
          <w:b/>
          <w:kern w:val="0"/>
          <w:sz w:val="24"/>
          <w:szCs w:val="24"/>
        </w:rPr>
      </w:pPr>
      <w:bookmarkStart w:id="0" w:name="_Toc490754465"/>
      <w:r>
        <w:rPr>
          <w:rFonts w:hint="eastAsia" w:ascii="宋体" w:eastAsia="宋体" w:cs="宋体"/>
          <w:b/>
          <w:kern w:val="0"/>
          <w:sz w:val="24"/>
          <w:szCs w:val="24"/>
        </w:rPr>
        <w:t>一、设计依据性文件</w:t>
      </w:r>
      <w:bookmarkEnd w:id="0"/>
    </w:p>
    <w:p>
      <w:pPr>
        <w:spacing w:line="360" w:lineRule="auto"/>
        <w:rPr>
          <w:rFonts w:hint="eastAsia" w:ascii="宋体" w:eastAsia="宋体" w:cs="宋体"/>
          <w:kern w:val="0"/>
          <w:sz w:val="24"/>
          <w:szCs w:val="24"/>
          <w:lang w:val="en-US" w:eastAsia="zh-CN"/>
        </w:rPr>
      </w:pPr>
      <w:r>
        <w:rPr>
          <w:rFonts w:hint="eastAsia" w:ascii="宋体" w:eastAsia="宋体" w:cs="宋体"/>
          <w:kern w:val="0"/>
          <w:sz w:val="24"/>
          <w:szCs w:val="24"/>
        </w:rPr>
        <w:t>1.1根据</w:t>
      </w:r>
      <w:r>
        <w:rPr>
          <w:rFonts w:ascii="宋体" w:eastAsia="宋体" w:cs="宋体"/>
          <w:kern w:val="0"/>
          <w:sz w:val="24"/>
          <w:szCs w:val="24"/>
        </w:rPr>
        <w:t>设计委托</w:t>
      </w:r>
      <w:r>
        <w:rPr>
          <w:rFonts w:hint="eastAsia" w:ascii="宋体" w:eastAsia="宋体" w:cs="宋体"/>
          <w:kern w:val="0"/>
          <w:sz w:val="24"/>
          <w:szCs w:val="24"/>
          <w:lang w:eastAsia="zh-CN"/>
        </w:rPr>
        <w:t>及接入系统批复文件</w:t>
      </w:r>
    </w:p>
    <w:p>
      <w:pPr>
        <w:spacing w:line="360" w:lineRule="auto"/>
        <w:rPr>
          <w:rFonts w:ascii="宋体" w:eastAsia="宋体" w:cs="宋体"/>
          <w:kern w:val="0"/>
          <w:sz w:val="24"/>
          <w:szCs w:val="24"/>
        </w:rPr>
      </w:pPr>
      <w:r>
        <w:rPr>
          <w:rFonts w:ascii="宋体" w:eastAsia="宋体" w:cs="宋体"/>
          <w:kern w:val="0"/>
          <w:sz w:val="24"/>
          <w:szCs w:val="24"/>
        </w:rPr>
        <w:t>1.2</w:t>
      </w:r>
      <w:r>
        <w:rPr>
          <w:rFonts w:hint="eastAsia" w:ascii="宋体" w:eastAsia="宋体" w:cs="宋体"/>
          <w:kern w:val="0"/>
          <w:sz w:val="24"/>
          <w:szCs w:val="24"/>
        </w:rPr>
        <w:t>主要设计标准、规程规范</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 50061 66kV </w:t>
      </w:r>
      <w:r>
        <w:rPr>
          <w:rFonts w:hint="eastAsia" w:ascii="宋体" w:hAnsi="TimesNewRomanPSMT" w:eastAsia="宋体" w:cs="宋体"/>
          <w:kern w:val="0"/>
          <w:szCs w:val="21"/>
        </w:rPr>
        <w:t>及以下架空电力线路设计规范</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 50052 </w:t>
      </w:r>
      <w:r>
        <w:rPr>
          <w:rFonts w:hint="eastAsia" w:ascii="宋体" w:hAnsi="TimesNewRomanPSMT" w:eastAsia="宋体" w:cs="宋体"/>
          <w:kern w:val="0"/>
          <w:szCs w:val="21"/>
        </w:rPr>
        <w:t>供配电系统设计规范</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 50169 </w:t>
      </w:r>
      <w:r>
        <w:rPr>
          <w:rFonts w:hint="eastAsia" w:ascii="宋体" w:hAnsi="TimesNewRomanPSMT" w:eastAsia="宋体" w:cs="宋体"/>
          <w:kern w:val="0"/>
          <w:szCs w:val="21"/>
        </w:rPr>
        <w:t>电气装置安装工程接地装置施工及验收规范</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 4623 </w:t>
      </w:r>
      <w:r>
        <w:rPr>
          <w:rFonts w:hint="eastAsia" w:ascii="宋体" w:hAnsi="TimesNewRomanPSMT" w:eastAsia="宋体" w:cs="宋体"/>
          <w:kern w:val="0"/>
          <w:szCs w:val="21"/>
        </w:rPr>
        <w:t>环形混凝土电杆</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 50661 </w:t>
      </w:r>
      <w:r>
        <w:rPr>
          <w:rFonts w:hint="eastAsia" w:ascii="宋体" w:hAnsi="TimesNewRomanPSMT" w:eastAsia="宋体" w:cs="宋体"/>
          <w:kern w:val="0"/>
          <w:szCs w:val="21"/>
        </w:rPr>
        <w:t>钢结构焊接规范</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1179 </w:t>
      </w:r>
      <w:r>
        <w:rPr>
          <w:rFonts w:hint="eastAsia" w:ascii="宋体" w:hAnsi="TimesNewRomanPSMT" w:eastAsia="宋体" w:cs="宋体"/>
          <w:kern w:val="0"/>
          <w:szCs w:val="21"/>
        </w:rPr>
        <w:t>圆线同心绞架空导线</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14049 </w:t>
      </w:r>
      <w:r>
        <w:rPr>
          <w:rFonts w:hint="eastAsia" w:ascii="宋体" w:hAnsi="TimesNewRomanPSMT" w:eastAsia="宋体" w:cs="宋体"/>
          <w:kern w:val="0"/>
          <w:szCs w:val="21"/>
        </w:rPr>
        <w:t>额定电压</w:t>
      </w:r>
      <w:r>
        <w:rPr>
          <w:rFonts w:ascii="TimesNewRomanPSMT" w:hAnsi="TimesNewRomanPSMT" w:cs="TimesNewRomanPSMT"/>
          <w:kern w:val="0"/>
          <w:szCs w:val="21"/>
        </w:rPr>
        <w:t xml:space="preserve">10kV </w:t>
      </w:r>
      <w:r>
        <w:rPr>
          <w:rFonts w:hint="eastAsia" w:ascii="宋体" w:hAnsi="TimesNewRomanPSMT" w:eastAsia="宋体" w:cs="宋体"/>
          <w:kern w:val="0"/>
          <w:szCs w:val="21"/>
        </w:rPr>
        <w:t>架空绝缘电缆</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12527 </w:t>
      </w:r>
      <w:r>
        <w:rPr>
          <w:rFonts w:hint="eastAsia" w:ascii="宋体" w:hAnsi="TimesNewRomanPSMT" w:eastAsia="宋体" w:cs="宋体"/>
          <w:kern w:val="0"/>
          <w:szCs w:val="21"/>
        </w:rPr>
        <w:t>额定电压</w:t>
      </w:r>
      <w:r>
        <w:rPr>
          <w:rFonts w:ascii="TimesNewRomanPSMT" w:hAnsi="TimesNewRomanPSMT" w:cs="TimesNewRomanPSMT"/>
          <w:kern w:val="0"/>
          <w:szCs w:val="21"/>
        </w:rPr>
        <w:t xml:space="preserve">1kV </w:t>
      </w:r>
      <w:r>
        <w:rPr>
          <w:rFonts w:hint="eastAsia" w:ascii="宋体" w:hAnsi="TimesNewRomanPSMT" w:eastAsia="宋体" w:cs="宋体"/>
          <w:kern w:val="0"/>
          <w:szCs w:val="21"/>
        </w:rPr>
        <w:t>及以下架空绝缘电缆</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50065 </w:t>
      </w:r>
      <w:r>
        <w:rPr>
          <w:rFonts w:hint="eastAsia" w:ascii="宋体" w:hAnsi="TimesNewRomanPSMT" w:eastAsia="宋体" w:cs="宋体"/>
          <w:kern w:val="0"/>
          <w:szCs w:val="21"/>
        </w:rPr>
        <w:t>交流电气装置的接地设计规范</w:t>
      </w:r>
    </w:p>
    <w:p>
      <w:pPr>
        <w:autoSpaceDE w:val="0"/>
        <w:autoSpaceDN w:val="0"/>
        <w:adjustRightInd w:val="0"/>
        <w:ind w:firstLine="424" w:firstLineChars="202"/>
        <w:jc w:val="left"/>
        <w:rPr>
          <w:rFonts w:ascii="TimesNewRomanPSMT" w:hAnsi="TimesNewRomanPSMT" w:cs="TimesNewRomanPSMT"/>
          <w:kern w:val="0"/>
          <w:szCs w:val="21"/>
        </w:rPr>
      </w:pPr>
      <w:r>
        <w:rPr>
          <w:rFonts w:ascii="TimesNewRomanPSMT" w:hAnsi="TimesNewRomanPSMT" w:cs="TimesNewRomanPSMT"/>
          <w:kern w:val="0"/>
          <w:szCs w:val="21"/>
        </w:rPr>
        <w:t>GB/T 7253</w:t>
      </w:r>
    </w:p>
    <w:p>
      <w:pPr>
        <w:autoSpaceDE w:val="0"/>
        <w:autoSpaceDN w:val="0"/>
        <w:adjustRightInd w:val="0"/>
        <w:ind w:firstLine="424" w:firstLineChars="202"/>
        <w:jc w:val="left"/>
        <w:rPr>
          <w:rFonts w:ascii="宋体" w:hAnsi="TimesNewRomanPSMT" w:eastAsia="宋体" w:cs="宋体"/>
          <w:kern w:val="0"/>
          <w:szCs w:val="21"/>
        </w:rPr>
      </w:pPr>
      <w:r>
        <w:rPr>
          <w:rFonts w:hint="eastAsia" w:ascii="宋体" w:hAnsi="TimesNewRomanPSMT" w:eastAsia="宋体" w:cs="宋体"/>
          <w:kern w:val="0"/>
          <w:szCs w:val="21"/>
        </w:rPr>
        <w:t>标称电压高于</w:t>
      </w:r>
      <w:r>
        <w:rPr>
          <w:rFonts w:ascii="TimesNewRomanPSMT" w:hAnsi="TimesNewRomanPSMT" w:cs="TimesNewRomanPSMT"/>
          <w:kern w:val="0"/>
          <w:szCs w:val="21"/>
        </w:rPr>
        <w:t xml:space="preserve">1000V </w:t>
      </w:r>
      <w:r>
        <w:rPr>
          <w:rFonts w:hint="eastAsia" w:ascii="宋体" w:hAnsi="TimesNewRomanPSMT" w:eastAsia="宋体" w:cs="宋体"/>
          <w:kern w:val="0"/>
          <w:szCs w:val="21"/>
        </w:rPr>
        <w:t>的架空线路绝缘子交流系统用瓷或</w:t>
      </w:r>
    </w:p>
    <w:p>
      <w:pPr>
        <w:autoSpaceDE w:val="0"/>
        <w:autoSpaceDN w:val="0"/>
        <w:adjustRightInd w:val="0"/>
        <w:ind w:firstLine="424" w:firstLineChars="202"/>
        <w:jc w:val="left"/>
        <w:rPr>
          <w:rFonts w:ascii="宋体" w:hAnsi="TimesNewRomanPSMT" w:eastAsia="宋体" w:cs="宋体"/>
          <w:kern w:val="0"/>
          <w:szCs w:val="21"/>
        </w:rPr>
      </w:pPr>
      <w:r>
        <w:rPr>
          <w:rFonts w:hint="eastAsia" w:ascii="宋体" w:hAnsi="TimesNewRomanPSMT" w:eastAsia="宋体" w:cs="宋体"/>
          <w:kern w:val="0"/>
          <w:szCs w:val="21"/>
        </w:rPr>
        <w:t>玻璃绝缘子元件盘形悬式绝缘子元件的特性</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2314 </w:t>
      </w:r>
      <w:r>
        <w:rPr>
          <w:rFonts w:hint="eastAsia" w:ascii="宋体" w:hAnsi="TimesNewRomanPSMT" w:eastAsia="宋体" w:cs="宋体"/>
          <w:kern w:val="0"/>
          <w:szCs w:val="21"/>
        </w:rPr>
        <w:t>电力金具通用技术条件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2315 </w:t>
      </w:r>
      <w:r>
        <w:rPr>
          <w:rFonts w:hint="eastAsia" w:ascii="宋体" w:hAnsi="TimesNewRomanPSMT" w:eastAsia="宋体" w:cs="宋体"/>
          <w:kern w:val="0"/>
          <w:szCs w:val="21"/>
        </w:rPr>
        <w:t>电力金具标称破坏载荷系列及连接型式尺寸</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2317.1 </w:t>
      </w:r>
      <w:r>
        <w:rPr>
          <w:rFonts w:hint="eastAsia" w:ascii="宋体" w:hAnsi="TimesNewRomanPSMT" w:eastAsia="宋体" w:cs="宋体"/>
          <w:kern w:val="0"/>
          <w:szCs w:val="21"/>
        </w:rPr>
        <w:t>电力金具试验方法第</w:t>
      </w:r>
      <w:r>
        <w:rPr>
          <w:rFonts w:ascii="TimesNewRomanPSMT" w:hAnsi="TimesNewRomanPSMT" w:cs="TimesNewRomanPSMT"/>
          <w:kern w:val="0"/>
          <w:szCs w:val="21"/>
        </w:rPr>
        <w:t xml:space="preserve">1 </w:t>
      </w:r>
      <w:r>
        <w:rPr>
          <w:rFonts w:hint="eastAsia" w:ascii="宋体" w:hAnsi="TimesNewRomanPSMT" w:eastAsia="宋体" w:cs="宋体"/>
          <w:kern w:val="0"/>
          <w:szCs w:val="21"/>
        </w:rPr>
        <w:t>部分：机械试验</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2317.2 </w:t>
      </w:r>
      <w:r>
        <w:rPr>
          <w:rFonts w:hint="eastAsia" w:ascii="宋体" w:hAnsi="TimesNewRomanPSMT" w:eastAsia="宋体" w:cs="宋体"/>
          <w:kern w:val="0"/>
          <w:szCs w:val="21"/>
        </w:rPr>
        <w:t>电力金具试验方法第</w:t>
      </w:r>
      <w:r>
        <w:rPr>
          <w:rFonts w:ascii="TimesNewRomanPSMT" w:hAnsi="TimesNewRomanPSMT" w:cs="TimesNewRomanPSMT"/>
          <w:kern w:val="0"/>
          <w:szCs w:val="21"/>
        </w:rPr>
        <w:t xml:space="preserve">2 </w:t>
      </w:r>
      <w:r>
        <w:rPr>
          <w:rFonts w:hint="eastAsia" w:ascii="宋体" w:hAnsi="TimesNewRomanPSMT" w:eastAsia="宋体" w:cs="宋体"/>
          <w:kern w:val="0"/>
          <w:szCs w:val="21"/>
        </w:rPr>
        <w:t>部分：电晕和无线电干扰试验</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2317.3 </w:t>
      </w:r>
      <w:r>
        <w:rPr>
          <w:rFonts w:hint="eastAsia" w:ascii="宋体" w:hAnsi="TimesNewRomanPSMT" w:eastAsia="宋体" w:cs="宋体"/>
          <w:kern w:val="0"/>
          <w:szCs w:val="21"/>
        </w:rPr>
        <w:t>电力金具试验方法第</w:t>
      </w:r>
      <w:r>
        <w:rPr>
          <w:rFonts w:ascii="TimesNewRomanPSMT" w:hAnsi="TimesNewRomanPSMT" w:cs="TimesNewRomanPSMT"/>
          <w:kern w:val="0"/>
          <w:szCs w:val="21"/>
        </w:rPr>
        <w:t xml:space="preserve">3 </w:t>
      </w:r>
      <w:r>
        <w:rPr>
          <w:rFonts w:hint="eastAsia" w:ascii="宋体" w:hAnsi="TimesNewRomanPSMT" w:eastAsia="宋体" w:cs="宋体"/>
          <w:kern w:val="0"/>
          <w:szCs w:val="21"/>
        </w:rPr>
        <w:t>部分</w:t>
      </w:r>
      <w:r>
        <w:rPr>
          <w:rFonts w:ascii="TimesNewRomanPSMT" w:hAnsi="TimesNewRomanPSMT" w:cs="TimesNewRomanPSMT"/>
          <w:kern w:val="0"/>
          <w:szCs w:val="21"/>
        </w:rPr>
        <w:t>:</w:t>
      </w:r>
      <w:r>
        <w:rPr>
          <w:rFonts w:hint="eastAsia" w:ascii="宋体" w:hAnsi="TimesNewRomanPSMT" w:eastAsia="宋体" w:cs="宋体"/>
          <w:kern w:val="0"/>
          <w:szCs w:val="21"/>
        </w:rPr>
        <w:t>热循环试验</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2317.4 </w:t>
      </w:r>
      <w:r>
        <w:rPr>
          <w:rFonts w:hint="eastAsia" w:ascii="宋体" w:hAnsi="TimesNewRomanPSMT" w:eastAsia="宋体" w:cs="宋体"/>
          <w:kern w:val="0"/>
          <w:szCs w:val="21"/>
        </w:rPr>
        <w:t>电力金具试验方法第</w:t>
      </w:r>
      <w:r>
        <w:rPr>
          <w:rFonts w:ascii="TimesNewRomanPSMT" w:hAnsi="TimesNewRomanPSMT" w:cs="TimesNewRomanPSMT"/>
          <w:kern w:val="0"/>
          <w:szCs w:val="21"/>
        </w:rPr>
        <w:t xml:space="preserve">4 </w:t>
      </w:r>
      <w:r>
        <w:rPr>
          <w:rFonts w:hint="eastAsia" w:ascii="宋体" w:hAnsi="TimesNewRomanPSMT" w:eastAsia="宋体" w:cs="宋体"/>
          <w:kern w:val="0"/>
          <w:szCs w:val="21"/>
        </w:rPr>
        <w:t>部分：验收规则</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5075 </w:t>
      </w:r>
      <w:r>
        <w:rPr>
          <w:rFonts w:hint="eastAsia" w:ascii="宋体" w:hAnsi="TimesNewRomanPSMT" w:eastAsia="宋体" w:cs="宋体"/>
          <w:kern w:val="0"/>
          <w:szCs w:val="21"/>
        </w:rPr>
        <w:t>电力金具名词术语</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GB/T 13729 </w:t>
      </w:r>
      <w:r>
        <w:rPr>
          <w:rFonts w:hint="eastAsia" w:ascii="宋体" w:hAnsi="TimesNewRomanPSMT" w:eastAsia="宋体" w:cs="宋体"/>
          <w:kern w:val="0"/>
          <w:szCs w:val="21"/>
        </w:rPr>
        <w:t>远动终端设备</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5220 10kV </w:t>
      </w:r>
      <w:r>
        <w:rPr>
          <w:rFonts w:hint="eastAsia" w:ascii="宋体" w:hAnsi="TimesNewRomanPSMT" w:eastAsia="宋体" w:cs="宋体"/>
          <w:kern w:val="0"/>
          <w:szCs w:val="21"/>
        </w:rPr>
        <w:t>及以下架空配电线路设计技术规程</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599 </w:t>
      </w:r>
      <w:r>
        <w:rPr>
          <w:rFonts w:hint="eastAsia" w:ascii="宋体" w:hAnsi="TimesNewRomanPSMT" w:eastAsia="宋体" w:cs="宋体"/>
          <w:kern w:val="0"/>
          <w:szCs w:val="21"/>
        </w:rPr>
        <w:t>城市中低压配电网改造技术导则</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5130 </w:t>
      </w:r>
      <w:r>
        <w:rPr>
          <w:rFonts w:hint="eastAsia" w:ascii="宋体" w:hAnsi="TimesNewRomanPSMT" w:eastAsia="宋体" w:cs="宋体"/>
          <w:kern w:val="0"/>
          <w:szCs w:val="21"/>
        </w:rPr>
        <w:t>架空送电线路钢管杆设计技术规定</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683 </w:t>
      </w:r>
      <w:r>
        <w:rPr>
          <w:rFonts w:hint="eastAsia" w:ascii="宋体" w:hAnsi="TimesNewRomanPSMT" w:eastAsia="宋体" w:cs="宋体"/>
          <w:kern w:val="0"/>
          <w:szCs w:val="21"/>
        </w:rPr>
        <w:t>电力金具产品型号命名方法</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756 </w:t>
      </w:r>
      <w:r>
        <w:rPr>
          <w:rFonts w:hint="eastAsia" w:ascii="宋体" w:hAnsi="TimesNewRomanPSMT" w:eastAsia="宋体" w:cs="宋体"/>
          <w:kern w:val="0"/>
          <w:szCs w:val="21"/>
        </w:rPr>
        <w:t>悬垂线夹</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757 </w:t>
      </w:r>
      <w:r>
        <w:rPr>
          <w:rFonts w:hint="eastAsia" w:ascii="宋体" w:hAnsi="TimesNewRomanPSMT" w:eastAsia="宋体" w:cs="宋体"/>
          <w:kern w:val="0"/>
          <w:szCs w:val="21"/>
        </w:rPr>
        <w:t>耐张线夹</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758 </w:t>
      </w:r>
      <w:r>
        <w:rPr>
          <w:rFonts w:hint="eastAsia" w:ascii="宋体" w:hAnsi="TimesNewRomanPSMT" w:eastAsia="宋体" w:cs="宋体"/>
          <w:kern w:val="0"/>
          <w:szCs w:val="21"/>
        </w:rPr>
        <w:t>接续金具</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759 </w:t>
      </w:r>
      <w:r>
        <w:rPr>
          <w:rFonts w:hint="eastAsia" w:ascii="宋体" w:hAnsi="TimesNewRomanPSMT" w:eastAsia="宋体" w:cs="宋体"/>
          <w:kern w:val="0"/>
          <w:szCs w:val="21"/>
        </w:rPr>
        <w:t>连接金具</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763 </w:t>
      </w:r>
      <w:r>
        <w:rPr>
          <w:rFonts w:hint="eastAsia" w:ascii="宋体" w:hAnsi="TimesNewRomanPSMT" w:eastAsia="宋体" w:cs="宋体"/>
          <w:kern w:val="0"/>
          <w:szCs w:val="21"/>
        </w:rPr>
        <w:t>架空线路用预绞式金具技术条件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764 </w:t>
      </w:r>
      <w:r>
        <w:rPr>
          <w:rFonts w:hint="eastAsia" w:ascii="宋体" w:hAnsi="TimesNewRomanPSMT" w:eastAsia="宋体" w:cs="宋体"/>
          <w:kern w:val="0"/>
          <w:szCs w:val="21"/>
        </w:rPr>
        <w:t>电力金具用杆部带销孔六角头螺栓</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1343 </w:t>
      </w:r>
      <w:r>
        <w:rPr>
          <w:rFonts w:hint="eastAsia" w:ascii="宋体" w:hAnsi="TimesNewRomanPSMT" w:eastAsia="宋体" w:cs="宋体"/>
          <w:kern w:val="0"/>
          <w:szCs w:val="21"/>
        </w:rPr>
        <w:t>电力金具用闭口销</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284 </w:t>
      </w:r>
      <w:r>
        <w:rPr>
          <w:rFonts w:hint="eastAsia" w:ascii="宋体" w:hAnsi="TimesNewRomanPSMT" w:eastAsia="宋体" w:cs="宋体"/>
          <w:kern w:val="0"/>
          <w:szCs w:val="21"/>
        </w:rPr>
        <w:t>输电线路杆塔及电力金具用热浸镀锌螺栓与螺母</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765.1 </w:t>
      </w:r>
      <w:r>
        <w:rPr>
          <w:rFonts w:hint="eastAsia" w:ascii="宋体" w:hAnsi="TimesNewRomanPSMT" w:eastAsia="宋体" w:cs="宋体"/>
          <w:kern w:val="0"/>
          <w:szCs w:val="21"/>
        </w:rPr>
        <w:t>架空配电线路金具技术条件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765.2 </w:t>
      </w:r>
      <w:r>
        <w:rPr>
          <w:rFonts w:hint="eastAsia" w:ascii="宋体" w:hAnsi="TimesNewRomanPSMT" w:eastAsia="宋体" w:cs="宋体"/>
          <w:kern w:val="0"/>
          <w:szCs w:val="21"/>
        </w:rPr>
        <w:t>额定电压</w:t>
      </w:r>
      <w:r>
        <w:rPr>
          <w:rFonts w:ascii="TimesNewRomanPSMT" w:hAnsi="TimesNewRomanPSMT" w:cs="TimesNewRomanPSMT"/>
          <w:kern w:val="0"/>
          <w:szCs w:val="21"/>
        </w:rPr>
        <w:t xml:space="preserve">10kV </w:t>
      </w:r>
      <w:r>
        <w:rPr>
          <w:rFonts w:hint="eastAsia" w:ascii="宋体" w:hAnsi="TimesNewRomanPSMT" w:eastAsia="宋体" w:cs="宋体"/>
          <w:kern w:val="0"/>
          <w:szCs w:val="21"/>
        </w:rPr>
        <w:t>及以下架空裸导线金具</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765.3 </w:t>
      </w:r>
      <w:r>
        <w:rPr>
          <w:rFonts w:hint="eastAsia" w:ascii="宋体" w:hAnsi="TimesNewRomanPSMT" w:eastAsia="宋体" w:cs="宋体"/>
          <w:kern w:val="0"/>
          <w:szCs w:val="21"/>
        </w:rPr>
        <w:t>额定电压</w:t>
      </w:r>
      <w:r>
        <w:rPr>
          <w:rFonts w:ascii="TimesNewRomanPSMT" w:hAnsi="TimesNewRomanPSMT" w:cs="TimesNewRomanPSMT"/>
          <w:kern w:val="0"/>
          <w:szCs w:val="21"/>
        </w:rPr>
        <w:t xml:space="preserve">10kV </w:t>
      </w:r>
      <w:r>
        <w:rPr>
          <w:rFonts w:hint="eastAsia" w:ascii="宋体" w:hAnsi="TimesNewRomanPSMT" w:eastAsia="宋体" w:cs="宋体"/>
          <w:kern w:val="0"/>
          <w:szCs w:val="21"/>
        </w:rPr>
        <w:t>及以下架空绝缘导线金具</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768.1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可锻铸铁件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768.2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锻制件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768.3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冲压件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768.4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球墨铸铁件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768.5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铝制件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768.6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焊接件</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768.7 </w:t>
      </w:r>
      <w:r>
        <w:rPr>
          <w:rFonts w:hint="eastAsia" w:ascii="宋体" w:hAnsi="TimesNewRomanPSMT" w:eastAsia="宋体" w:cs="宋体"/>
          <w:kern w:val="0"/>
          <w:szCs w:val="21"/>
        </w:rPr>
        <w:t>电力金具制造质量</w:t>
      </w:r>
      <w:r>
        <w:rPr>
          <w:rFonts w:ascii="宋体" w:hAnsi="TimesNewRomanPSMT" w:eastAsia="宋体" w:cs="宋体"/>
          <w:kern w:val="0"/>
          <w:szCs w:val="21"/>
        </w:rPr>
        <w:t xml:space="preserve"> </w:t>
      </w:r>
      <w:r>
        <w:rPr>
          <w:rFonts w:hint="eastAsia" w:ascii="宋体" w:hAnsi="TimesNewRomanPSMT" w:eastAsia="宋体" w:cs="宋体"/>
          <w:kern w:val="0"/>
          <w:szCs w:val="21"/>
        </w:rPr>
        <w:t>钢铁件热镀锌层</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DL/T 601 </w:t>
      </w:r>
      <w:r>
        <w:rPr>
          <w:rFonts w:hint="eastAsia" w:ascii="宋体" w:hAnsi="TimesNewRomanPSMT" w:eastAsia="宋体" w:cs="宋体"/>
          <w:kern w:val="0"/>
          <w:szCs w:val="21"/>
        </w:rPr>
        <w:t>架空绝缘配电线路设计技术规程</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Q/GDW 1738 </w:t>
      </w:r>
      <w:r>
        <w:rPr>
          <w:rFonts w:hint="eastAsia" w:ascii="宋体" w:hAnsi="TimesNewRomanPSMT" w:eastAsia="宋体" w:cs="宋体"/>
          <w:kern w:val="0"/>
          <w:szCs w:val="21"/>
        </w:rPr>
        <w:t>配电网规划设计技术导则</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Q/GDW 382 </w:t>
      </w:r>
      <w:r>
        <w:rPr>
          <w:rFonts w:hint="eastAsia" w:ascii="宋体" w:hAnsi="TimesNewRomanPSMT" w:eastAsia="宋体" w:cs="宋体"/>
          <w:kern w:val="0"/>
          <w:szCs w:val="21"/>
        </w:rPr>
        <w:t>配电自动化技术导则</w:t>
      </w:r>
    </w:p>
    <w:p>
      <w:pPr>
        <w:ind w:firstLine="424" w:firstLineChars="202"/>
        <w:rPr>
          <w:rFonts w:ascii="宋体" w:hAnsi="TimesNewRomanPSMT" w:eastAsia="宋体" w:cs="宋体"/>
          <w:kern w:val="0"/>
          <w:szCs w:val="21"/>
        </w:rPr>
      </w:pPr>
      <w:r>
        <w:rPr>
          <w:rFonts w:ascii="TimesNewRomanPSMT" w:hAnsi="TimesNewRomanPSMT" w:cs="TimesNewRomanPSMT"/>
          <w:kern w:val="0"/>
          <w:szCs w:val="21"/>
        </w:rPr>
        <w:t xml:space="preserve">Q/GDW 625 </w:t>
      </w:r>
      <w:r>
        <w:rPr>
          <w:rFonts w:hint="eastAsia" w:ascii="宋体" w:hAnsi="TimesNewRomanPSMT" w:eastAsia="宋体" w:cs="宋体"/>
          <w:kern w:val="0"/>
          <w:szCs w:val="21"/>
        </w:rPr>
        <w:t>配电自动化建设改造标准化设计技术规定</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Q/GDW 514 </w:t>
      </w:r>
      <w:r>
        <w:rPr>
          <w:rFonts w:hint="eastAsia" w:ascii="宋体" w:hAnsi="TimesNewRomanPSMT" w:eastAsia="宋体" w:cs="宋体"/>
          <w:kern w:val="0"/>
          <w:szCs w:val="21"/>
        </w:rPr>
        <w:t>配电自动化终端</w:t>
      </w:r>
      <w:r>
        <w:rPr>
          <w:rFonts w:ascii="TimesNewRomanPSMT" w:hAnsi="TimesNewRomanPSMT" w:cs="TimesNewRomanPSMT"/>
          <w:kern w:val="0"/>
          <w:szCs w:val="21"/>
        </w:rPr>
        <w:t>/</w:t>
      </w:r>
      <w:r>
        <w:rPr>
          <w:rFonts w:hint="eastAsia" w:ascii="宋体" w:hAnsi="TimesNewRomanPSMT" w:eastAsia="宋体" w:cs="宋体"/>
          <w:kern w:val="0"/>
          <w:szCs w:val="21"/>
        </w:rPr>
        <w:t>子站功能规范</w:t>
      </w:r>
    </w:p>
    <w:p>
      <w:pPr>
        <w:autoSpaceDE w:val="0"/>
        <w:autoSpaceDN w:val="0"/>
        <w:adjustRightInd w:val="0"/>
        <w:ind w:firstLine="424" w:firstLineChars="202"/>
        <w:jc w:val="left"/>
        <w:rPr>
          <w:rFonts w:ascii="宋体" w:hAnsi="TimesNewRomanPSMT" w:eastAsia="宋体" w:cs="宋体"/>
          <w:kern w:val="0"/>
          <w:szCs w:val="21"/>
        </w:rPr>
      </w:pPr>
      <w:r>
        <w:rPr>
          <w:rFonts w:ascii="TimesNewRomanPSMT" w:hAnsi="TimesNewRomanPSMT" w:cs="TimesNewRomanPSMT"/>
          <w:kern w:val="0"/>
          <w:szCs w:val="21"/>
        </w:rPr>
        <w:t xml:space="preserve">Q/GDW 742 </w:t>
      </w:r>
      <w:r>
        <w:rPr>
          <w:rFonts w:hint="eastAsia" w:ascii="宋体" w:hAnsi="TimesNewRomanPSMT" w:eastAsia="宋体" w:cs="宋体"/>
          <w:kern w:val="0"/>
          <w:szCs w:val="21"/>
        </w:rPr>
        <w:t>配电网施工检修工艺规范</w:t>
      </w:r>
    </w:p>
    <w:p>
      <w:pPr>
        <w:ind w:firstLine="424" w:firstLineChars="202"/>
        <w:rPr>
          <w:rFonts w:ascii="宋体" w:hAnsi="TimesNewRomanPSMT" w:eastAsia="宋体" w:cs="宋体"/>
          <w:kern w:val="0"/>
          <w:szCs w:val="21"/>
        </w:rPr>
      </w:pPr>
      <w:r>
        <w:rPr>
          <w:rFonts w:ascii="TimesNewRomanPSMT" w:hAnsi="TimesNewRomanPSMT" w:cs="TimesNewRomanPSMT"/>
          <w:kern w:val="0"/>
          <w:szCs w:val="21"/>
        </w:rPr>
        <w:t xml:space="preserve">YB/T 5004 </w:t>
      </w:r>
      <w:r>
        <w:rPr>
          <w:rFonts w:hint="eastAsia" w:ascii="宋体" w:hAnsi="TimesNewRomanPSMT" w:eastAsia="宋体" w:cs="宋体"/>
          <w:kern w:val="0"/>
          <w:szCs w:val="21"/>
        </w:rPr>
        <w:t>镀锌钢绞线</w:t>
      </w:r>
    </w:p>
    <w:p>
      <w:pPr>
        <w:spacing w:line="360" w:lineRule="auto"/>
        <w:outlineLvl w:val="0"/>
        <w:rPr>
          <w:rFonts w:ascii="宋体" w:eastAsia="宋体" w:cs="宋体"/>
          <w:b/>
          <w:kern w:val="0"/>
          <w:sz w:val="24"/>
          <w:szCs w:val="24"/>
        </w:rPr>
      </w:pPr>
      <w:bookmarkStart w:id="1" w:name="_Toc490754466"/>
      <w:r>
        <w:rPr>
          <w:rFonts w:hint="eastAsia" w:ascii="宋体" w:eastAsia="宋体" w:cs="宋体"/>
          <w:b/>
          <w:kern w:val="0"/>
          <w:sz w:val="24"/>
          <w:szCs w:val="24"/>
        </w:rPr>
        <w:t>二</w:t>
      </w:r>
      <w:r>
        <w:rPr>
          <w:rFonts w:ascii="宋体" w:eastAsia="宋体" w:cs="宋体"/>
          <w:b/>
          <w:kern w:val="0"/>
          <w:sz w:val="24"/>
          <w:szCs w:val="24"/>
        </w:rPr>
        <w:t>、工程技术经济指标</w:t>
      </w:r>
      <w:bookmarkEnd w:id="1"/>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本工程地形∶丘陵100%；</w:t>
      </w:r>
    </w:p>
    <w:p>
      <w:pPr>
        <w:spacing w:line="360" w:lineRule="auto"/>
        <w:ind w:firstLine="424" w:firstLineChars="177"/>
        <w:rPr>
          <w:rFonts w:hint="eastAsia" w:ascii="宋体" w:eastAsia="宋体" w:cs="宋体"/>
          <w:kern w:val="0"/>
          <w:sz w:val="24"/>
          <w:szCs w:val="24"/>
        </w:rPr>
      </w:pPr>
      <w:r>
        <w:rPr>
          <w:rFonts w:hint="eastAsia" w:ascii="宋体" w:eastAsia="宋体" w:cs="宋体"/>
          <w:kern w:val="0"/>
          <w:sz w:val="24"/>
          <w:szCs w:val="24"/>
        </w:rPr>
        <w:t xml:space="preserve">本工程地质∶ </w:t>
      </w:r>
      <w:r>
        <w:rPr>
          <w:rFonts w:hint="eastAsia" w:ascii="宋体" w:eastAsia="宋体" w:cs="宋体"/>
          <w:kern w:val="0"/>
          <w:sz w:val="24"/>
          <w:szCs w:val="24"/>
          <w:lang w:val="en-US" w:eastAsia="zh-CN"/>
        </w:rPr>
        <w:t>普通土20%，松砂石30%，岩石50%</w:t>
      </w:r>
      <w:r>
        <w:rPr>
          <w:rFonts w:hint="eastAsia" w:ascii="宋体" w:eastAsia="宋体" w:cs="宋体"/>
          <w:kern w:val="0"/>
          <w:sz w:val="24"/>
          <w:szCs w:val="24"/>
        </w:rPr>
        <w:t>；</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汽车运输大运：平均运距</w:t>
      </w:r>
      <w:r>
        <w:rPr>
          <w:rFonts w:hint="eastAsia" w:ascii="宋体" w:eastAsia="宋体" w:cs="宋体"/>
          <w:kern w:val="0"/>
          <w:sz w:val="24"/>
          <w:szCs w:val="24"/>
          <w:lang w:val="en-US" w:eastAsia="zh-CN"/>
        </w:rPr>
        <w:t>35km</w:t>
      </w:r>
      <w:r>
        <w:rPr>
          <w:rFonts w:hint="eastAsia" w:ascii="宋体" w:eastAsia="宋体" w:cs="宋体"/>
          <w:kern w:val="0"/>
          <w:sz w:val="24"/>
          <w:szCs w:val="24"/>
        </w:rPr>
        <w:t>；</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人力运输小运：平均运距</w:t>
      </w:r>
      <w:r>
        <w:rPr>
          <w:rFonts w:hint="eastAsia" w:ascii="宋体" w:eastAsia="宋体" w:cs="宋体"/>
          <w:kern w:val="0"/>
          <w:sz w:val="24"/>
          <w:szCs w:val="24"/>
          <w:lang w:val="en-US" w:eastAsia="zh-CN"/>
        </w:rPr>
        <w:t>0.3</w:t>
      </w:r>
      <w:r>
        <w:rPr>
          <w:rFonts w:hint="eastAsia" w:ascii="宋体" w:eastAsia="宋体" w:cs="宋体"/>
          <w:kern w:val="0"/>
          <w:sz w:val="24"/>
          <w:szCs w:val="24"/>
        </w:rPr>
        <w:t>km。</w:t>
      </w:r>
    </w:p>
    <w:p>
      <w:pPr>
        <w:spacing w:line="360" w:lineRule="auto"/>
        <w:outlineLvl w:val="0"/>
        <w:rPr>
          <w:rFonts w:ascii="宋体" w:eastAsia="宋体" w:cs="宋体"/>
          <w:b/>
          <w:kern w:val="0"/>
          <w:sz w:val="24"/>
          <w:szCs w:val="24"/>
        </w:rPr>
      </w:pPr>
      <w:bookmarkStart w:id="2" w:name="_Toc490754467"/>
      <w:r>
        <w:rPr>
          <w:rFonts w:hint="eastAsia" w:ascii="宋体" w:eastAsia="宋体" w:cs="宋体"/>
          <w:b/>
          <w:kern w:val="0"/>
          <w:sz w:val="24"/>
          <w:szCs w:val="24"/>
        </w:rPr>
        <w:t>三</w:t>
      </w:r>
      <w:r>
        <w:rPr>
          <w:rFonts w:ascii="宋体" w:eastAsia="宋体" w:cs="宋体"/>
          <w:b/>
          <w:kern w:val="0"/>
          <w:sz w:val="24"/>
          <w:szCs w:val="24"/>
        </w:rPr>
        <w:t>、工程概况</w:t>
      </w:r>
      <w:r>
        <w:rPr>
          <w:rFonts w:hint="eastAsia" w:ascii="宋体" w:eastAsia="宋体" w:cs="宋体"/>
          <w:b/>
          <w:kern w:val="0"/>
          <w:sz w:val="24"/>
          <w:szCs w:val="24"/>
        </w:rPr>
        <w:t>及</w:t>
      </w:r>
      <w:r>
        <w:rPr>
          <w:rFonts w:ascii="宋体" w:eastAsia="宋体" w:cs="宋体"/>
          <w:b/>
          <w:kern w:val="0"/>
          <w:sz w:val="24"/>
          <w:szCs w:val="24"/>
        </w:rPr>
        <w:t>主要设计内容</w:t>
      </w:r>
      <w:bookmarkEnd w:id="2"/>
    </w:p>
    <w:p>
      <w:pPr>
        <w:spacing w:line="360" w:lineRule="auto"/>
        <w:outlineLvl w:val="1"/>
        <w:rPr>
          <w:rFonts w:ascii="宋体" w:eastAsia="宋体" w:cs="宋体"/>
          <w:b/>
          <w:kern w:val="0"/>
          <w:sz w:val="24"/>
          <w:szCs w:val="24"/>
        </w:rPr>
      </w:pPr>
      <w:bookmarkStart w:id="3" w:name="_Toc490754468"/>
      <w:r>
        <w:rPr>
          <w:rFonts w:hint="eastAsia" w:ascii="宋体" w:eastAsia="宋体" w:cs="宋体"/>
          <w:b/>
          <w:kern w:val="0"/>
          <w:sz w:val="24"/>
          <w:szCs w:val="24"/>
        </w:rPr>
        <w:t>3.1工程</w:t>
      </w:r>
      <w:r>
        <w:rPr>
          <w:rFonts w:ascii="宋体" w:eastAsia="宋体" w:cs="宋体"/>
          <w:b/>
          <w:kern w:val="0"/>
          <w:sz w:val="24"/>
          <w:szCs w:val="24"/>
        </w:rPr>
        <w:t>概况</w:t>
      </w:r>
      <w:bookmarkEnd w:id="3"/>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lang w:val="en-US" w:eastAsia="zh-CN"/>
        </w:rPr>
        <w:t>本工程为神仙桥产业园能源综合利用项目送出工程，从神仙桥产业园能源综合利用项目配电室10kV间隔新建10kV电力线路至110kV永利变电站扩建10kV间隔，新建10kV单回电缆线路长0.983km，新建10kV双回架空线路长2*1.063km。</w:t>
      </w:r>
    </w:p>
    <w:p>
      <w:pPr>
        <w:spacing w:line="360" w:lineRule="auto"/>
        <w:outlineLvl w:val="1"/>
        <w:rPr>
          <w:rFonts w:hint="eastAsia" w:ascii="宋体" w:eastAsia="宋体" w:cs="宋体"/>
          <w:kern w:val="0"/>
          <w:sz w:val="24"/>
          <w:szCs w:val="24"/>
          <w:lang w:val="en-US" w:eastAsia="zh-CN"/>
        </w:rPr>
      </w:pPr>
      <w:bookmarkStart w:id="4" w:name="_Toc490754469"/>
      <w:r>
        <w:rPr>
          <w:rFonts w:hint="eastAsia" w:ascii="宋体" w:eastAsia="宋体" w:cs="宋体"/>
          <w:b/>
          <w:kern w:val="0"/>
          <w:sz w:val="24"/>
          <w:szCs w:val="24"/>
        </w:rPr>
        <w:t>3.2主要</w:t>
      </w:r>
      <w:r>
        <w:rPr>
          <w:rFonts w:ascii="宋体" w:eastAsia="宋体" w:cs="宋体"/>
          <w:b/>
          <w:kern w:val="0"/>
          <w:sz w:val="24"/>
          <w:szCs w:val="24"/>
        </w:rPr>
        <w:t>设计内容</w:t>
      </w:r>
      <w:bookmarkEnd w:id="4"/>
    </w:p>
    <w:p>
      <w:pPr>
        <w:spacing w:line="360" w:lineRule="auto"/>
        <w:ind w:firstLine="480" w:firstLineChars="200"/>
        <w:outlineLvl w:val="0"/>
        <w:rPr>
          <w:rFonts w:hint="eastAsia" w:ascii="宋体" w:eastAsia="宋体" w:cs="宋体"/>
          <w:kern w:val="0"/>
          <w:sz w:val="24"/>
          <w:szCs w:val="24"/>
          <w:lang w:val="en-US" w:eastAsia="zh-CN"/>
        </w:rPr>
      </w:pPr>
      <w:bookmarkStart w:id="5" w:name="_Toc490754470"/>
      <w:r>
        <w:rPr>
          <w:rFonts w:hint="eastAsia" w:ascii="宋体" w:eastAsia="宋体" w:cs="宋体"/>
          <w:kern w:val="0"/>
          <w:sz w:val="24"/>
          <w:szCs w:val="24"/>
          <w:lang w:val="en-US" w:eastAsia="zh-CN"/>
        </w:rPr>
        <w:t>1）新建双回架空线路路径长L=2*1.063km，采用JKLGYJ-10-300/40架设；</w:t>
      </w:r>
    </w:p>
    <w:p>
      <w:pPr>
        <w:spacing w:line="360" w:lineRule="auto"/>
        <w:ind w:firstLine="480" w:firstLineChars="200"/>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2）新建单回电缆长0.983km，采用ZAZS-YJV22-8.7/15kV-3×400mm²敷设（含电缆上下杆及变电站内预留）；</w:t>
      </w:r>
    </w:p>
    <w:p>
      <w:pPr>
        <w:spacing w:line="360" w:lineRule="auto"/>
        <w:ind w:firstLine="480" w:firstLineChars="200"/>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3）新建光缆线路长2.146km；，采用ADSS-24B1-500/AT沿新建架空线路电杆及电缆通道敷设，</w:t>
      </w:r>
    </w:p>
    <w:p>
      <w:pPr>
        <w:spacing w:line="360" w:lineRule="auto"/>
        <w:ind w:firstLine="480" w:firstLineChars="200"/>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4）新建电杆18根，其中15米Φ190电杆3根，15米Φ230电杆2根，15米Φ270电杆6根，18米Φ230电杆2根，18米Φ270电杆5根，新建GJ-100拉线48套；</w:t>
      </w:r>
    </w:p>
    <w:p>
      <w:pPr>
        <w:spacing w:line="360" w:lineRule="auto"/>
        <w:ind w:firstLine="480" w:firstLineChars="200"/>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5）新建一二次融合柱上断路器1台，新增氧化锌避雷器8组，隔离刀闸8组,线路外带间隙避雷器8组，接地装置8套；</w:t>
      </w:r>
    </w:p>
    <w:p>
      <w:pPr>
        <w:spacing w:line="360" w:lineRule="auto"/>
        <w:ind w:firstLine="480" w:firstLineChars="200"/>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6）新建3*400户外电缆冷缩终端头4套，新建3*400户内电缆冷缩终端头2套，新建3*400电缆热熔中间接头1套，中间接头防爆盒1套；</w:t>
      </w:r>
    </w:p>
    <w:p>
      <w:pPr>
        <w:spacing w:line="360" w:lineRule="auto"/>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土建部分：</w:t>
      </w:r>
    </w:p>
    <w:p>
      <w:pPr>
        <w:spacing w:line="360" w:lineRule="auto"/>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 xml:space="preserve">  1）新建2+1孔Φ200CPVC混凝土包封通道0.583km，2+1孔SC-DN200混凝土包封排管0.029km；</w:t>
      </w:r>
    </w:p>
    <w:p>
      <w:pPr>
        <w:spacing w:line="360" w:lineRule="auto"/>
        <w:outlineLvl w:val="0"/>
        <w:rPr>
          <w:rFonts w:hint="eastAsia" w:ascii="宋体" w:eastAsia="宋体" w:cs="宋体"/>
          <w:kern w:val="0"/>
          <w:sz w:val="24"/>
          <w:szCs w:val="24"/>
          <w:lang w:val="en-US" w:eastAsia="zh-CN"/>
        </w:rPr>
      </w:pPr>
      <w:r>
        <w:rPr>
          <w:rFonts w:hint="eastAsia" w:ascii="宋体" w:eastAsia="宋体" w:cs="宋体"/>
          <w:kern w:val="0"/>
          <w:sz w:val="24"/>
          <w:szCs w:val="24"/>
          <w:lang w:val="en-US" w:eastAsia="zh-CN"/>
        </w:rPr>
        <w:t xml:space="preserve">  4）新建电缆井22座 ，其中电缆转角井16座、电缆直线井5座,竖井1座。</w:t>
      </w:r>
    </w:p>
    <w:p>
      <w:pPr>
        <w:spacing w:line="360" w:lineRule="auto"/>
        <w:outlineLvl w:val="0"/>
        <w:rPr>
          <w:rFonts w:ascii="宋体" w:eastAsia="宋体" w:cs="宋体"/>
          <w:b/>
          <w:kern w:val="0"/>
          <w:sz w:val="24"/>
          <w:szCs w:val="24"/>
        </w:rPr>
      </w:pPr>
      <w:r>
        <w:rPr>
          <w:rFonts w:hint="eastAsia" w:ascii="宋体" w:eastAsia="宋体" w:cs="宋体"/>
          <w:b/>
          <w:kern w:val="0"/>
          <w:sz w:val="24"/>
          <w:szCs w:val="24"/>
        </w:rPr>
        <w:t>四</w:t>
      </w:r>
      <w:r>
        <w:rPr>
          <w:rFonts w:ascii="宋体" w:eastAsia="宋体" w:cs="宋体"/>
          <w:b/>
          <w:kern w:val="0"/>
          <w:sz w:val="24"/>
          <w:szCs w:val="24"/>
        </w:rPr>
        <w:t>、气象条件</w:t>
      </w:r>
      <w:bookmarkEnd w:id="5"/>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根据泸州市气象站历年观测的气象</w:t>
      </w:r>
      <w:r>
        <w:rPr>
          <w:rFonts w:ascii="宋体" w:eastAsia="宋体" w:cs="宋体"/>
          <w:kern w:val="0"/>
          <w:sz w:val="24"/>
          <w:szCs w:val="24"/>
        </w:rPr>
        <w:t>资料，</w:t>
      </w:r>
      <w:r>
        <w:rPr>
          <w:rFonts w:hint="eastAsia" w:ascii="宋体" w:eastAsia="宋体" w:cs="宋体"/>
          <w:kern w:val="0"/>
          <w:sz w:val="24"/>
          <w:szCs w:val="24"/>
        </w:rPr>
        <w:t>并结合</w:t>
      </w:r>
      <w:r>
        <w:rPr>
          <w:rFonts w:ascii="宋体" w:eastAsia="宋体" w:cs="宋体"/>
          <w:kern w:val="0"/>
          <w:sz w:val="24"/>
          <w:szCs w:val="24"/>
        </w:rPr>
        <w:t>本工程地理位置，</w:t>
      </w:r>
      <w:r>
        <w:rPr>
          <w:rFonts w:hint="eastAsia" w:ascii="宋体" w:eastAsia="宋体" w:cs="宋体"/>
          <w:kern w:val="0"/>
          <w:sz w:val="24"/>
          <w:szCs w:val="24"/>
        </w:rPr>
        <w:t>选取</w:t>
      </w:r>
      <w:r>
        <w:rPr>
          <w:rFonts w:ascii="宋体" w:eastAsia="宋体" w:cs="宋体"/>
          <w:kern w:val="0"/>
          <w:sz w:val="24"/>
          <w:szCs w:val="24"/>
        </w:rPr>
        <w:t>气象</w:t>
      </w:r>
      <w:r>
        <w:rPr>
          <w:rFonts w:hint="eastAsia" w:ascii="宋体" w:eastAsia="宋体" w:cs="宋体"/>
          <w:kern w:val="0"/>
          <w:sz w:val="24"/>
          <w:szCs w:val="24"/>
        </w:rPr>
        <w:t>组合</w:t>
      </w:r>
      <w:r>
        <w:rPr>
          <w:rFonts w:ascii="宋体" w:eastAsia="宋体" w:cs="宋体"/>
          <w:kern w:val="0"/>
          <w:sz w:val="24"/>
          <w:szCs w:val="24"/>
        </w:rPr>
        <w:t>如下表</w:t>
      </w:r>
      <w:r>
        <w:rPr>
          <w:rFonts w:hint="eastAsia" w:ascii="宋体" w:eastAsia="宋体" w:cs="宋体"/>
          <w:kern w:val="0"/>
          <w:sz w:val="24"/>
          <w:szCs w:val="24"/>
        </w:rPr>
        <w:t>：</w:t>
      </w:r>
    </w:p>
    <w:p>
      <w:pPr>
        <w:spacing w:line="360" w:lineRule="auto"/>
        <w:jc w:val="center"/>
        <w:rPr>
          <w:rFonts w:ascii="宋体" w:eastAsia="宋体" w:cs="宋体"/>
          <w:kern w:val="0"/>
          <w:sz w:val="24"/>
          <w:szCs w:val="24"/>
        </w:rPr>
      </w:pPr>
      <w:r>
        <w:rPr>
          <w:rFonts w:hint="eastAsia" w:ascii="宋体" w:eastAsia="宋体" w:cs="宋体"/>
          <w:kern w:val="0"/>
          <w:sz w:val="24"/>
          <w:szCs w:val="24"/>
        </w:rPr>
        <w:t>表4.1-1气象组合表</w:t>
      </w:r>
    </w:p>
    <w:tbl>
      <w:tblPr>
        <w:tblStyle w:val="12"/>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80"/>
        <w:gridCol w:w="2129"/>
        <w:gridCol w:w="2183"/>
        <w:gridCol w:w="21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项目</w:t>
            </w:r>
          </w:p>
        </w:tc>
        <w:tc>
          <w:tcPr>
            <w:tcW w:w="3094"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温度（℃）</w:t>
            </w:r>
          </w:p>
        </w:tc>
        <w:tc>
          <w:tcPr>
            <w:tcW w:w="3094"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风速（m/s）</w:t>
            </w:r>
          </w:p>
        </w:tc>
        <w:tc>
          <w:tcPr>
            <w:tcW w:w="3094"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覆冰（mm）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最高气温</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40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最低气温</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覆    冰</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年平均气温</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最大风速</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10</w:t>
            </w:r>
          </w:p>
        </w:tc>
        <w:tc>
          <w:tcPr>
            <w:tcW w:w="3094" w:type="dxa"/>
            <w:vAlign w:val="center"/>
          </w:tcPr>
          <w:p>
            <w:pPr>
              <w:spacing w:line="360" w:lineRule="auto"/>
              <w:ind w:left="-25" w:leftChars="-12" w:firstLine="1"/>
              <w:jc w:val="center"/>
              <w:rPr>
                <w:rFonts w:hint="default" w:ascii="宋体" w:eastAsia="宋体" w:cs="宋体"/>
                <w:kern w:val="0"/>
                <w:sz w:val="24"/>
                <w:szCs w:val="24"/>
                <w:lang w:val="en-US" w:eastAsia="zh-CN"/>
              </w:rPr>
            </w:pPr>
            <w:r>
              <w:rPr>
                <w:rFonts w:hint="eastAsia" w:ascii="宋体" w:eastAsia="宋体" w:cs="宋体"/>
                <w:kern w:val="0"/>
                <w:sz w:val="24"/>
                <w:szCs w:val="24"/>
                <w:lang w:val="en-US" w:eastAsia="zh-CN"/>
              </w:rPr>
              <w:t>25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外过电压</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内过电压</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15</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3093" w:type="dxa"/>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安装情况</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10</w:t>
            </w:r>
          </w:p>
        </w:tc>
        <w:tc>
          <w:tcPr>
            <w:tcW w:w="3094" w:type="dxa"/>
            <w:vAlign w:val="center"/>
          </w:tcPr>
          <w:p>
            <w:pPr>
              <w:spacing w:line="360" w:lineRule="auto"/>
              <w:ind w:left="-25" w:leftChars="-12" w:firstLine="1"/>
              <w:jc w:val="center"/>
              <w:rPr>
                <w:rFonts w:ascii="宋体" w:eastAsia="宋体" w:cs="宋体"/>
                <w:kern w:val="0"/>
                <w:sz w:val="24"/>
                <w:szCs w:val="24"/>
              </w:rPr>
            </w:pPr>
            <w:r>
              <w:rPr>
                <w:rFonts w:hint="eastAsia" w:ascii="宋体" w:eastAsia="宋体" w:cs="宋体"/>
                <w:kern w:val="0"/>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6187" w:type="dxa"/>
            <w:gridSpan w:val="2"/>
            <w:vAlign w:val="center"/>
          </w:tcPr>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雷暴日</w:t>
            </w:r>
          </w:p>
        </w:tc>
        <w:tc>
          <w:tcPr>
            <w:tcW w:w="6189" w:type="dxa"/>
            <w:gridSpan w:val="2"/>
            <w:vAlign w:val="center"/>
          </w:tcPr>
          <w:p>
            <w:pPr>
              <w:spacing w:line="360" w:lineRule="auto"/>
              <w:ind w:firstLine="33" w:firstLineChars="14"/>
              <w:jc w:val="center"/>
              <w:rPr>
                <w:rFonts w:ascii="宋体" w:eastAsia="宋体" w:cs="宋体"/>
                <w:kern w:val="0"/>
                <w:sz w:val="24"/>
                <w:szCs w:val="24"/>
              </w:rPr>
            </w:pPr>
            <w:r>
              <w:rPr>
                <w:rFonts w:hint="eastAsia" w:ascii="宋体" w:eastAsia="宋体" w:cs="宋体"/>
                <w:kern w:val="0"/>
                <w:sz w:val="24"/>
                <w:szCs w:val="24"/>
                <w:lang w:val="en-US" w:eastAsia="zh-CN"/>
              </w:rPr>
              <w:t>50</w:t>
            </w:r>
            <w:r>
              <w:rPr>
                <w:rFonts w:hint="eastAsia" w:ascii="宋体" w:eastAsia="宋体" w:cs="宋体"/>
                <w:kern w:val="0"/>
                <w:sz w:val="24"/>
                <w:szCs w:val="24"/>
              </w:rPr>
              <w:t>个/年</w:t>
            </w:r>
          </w:p>
        </w:tc>
      </w:tr>
    </w:tbl>
    <w:p>
      <w:pPr>
        <w:spacing w:line="360" w:lineRule="auto"/>
        <w:ind w:firstLine="424" w:firstLineChars="177"/>
        <w:rPr>
          <w:rFonts w:ascii="宋体" w:eastAsia="宋体" w:cs="宋体"/>
          <w:kern w:val="0"/>
          <w:sz w:val="24"/>
          <w:szCs w:val="24"/>
        </w:rPr>
      </w:pPr>
    </w:p>
    <w:p>
      <w:pPr>
        <w:spacing w:line="360" w:lineRule="auto"/>
        <w:outlineLvl w:val="0"/>
        <w:rPr>
          <w:rFonts w:ascii="宋体" w:eastAsia="宋体" w:cs="宋体"/>
          <w:b/>
          <w:kern w:val="0"/>
          <w:sz w:val="24"/>
          <w:szCs w:val="24"/>
        </w:rPr>
      </w:pPr>
      <w:bookmarkStart w:id="6" w:name="_Toc490754471"/>
      <w:r>
        <w:rPr>
          <w:rFonts w:hint="eastAsia" w:ascii="宋体" w:eastAsia="宋体" w:cs="宋体"/>
          <w:b/>
          <w:kern w:val="0"/>
          <w:sz w:val="24"/>
          <w:szCs w:val="24"/>
        </w:rPr>
        <w:t>五</w:t>
      </w:r>
      <w:r>
        <w:rPr>
          <w:rFonts w:ascii="宋体" w:eastAsia="宋体" w:cs="宋体"/>
          <w:b/>
          <w:kern w:val="0"/>
          <w:sz w:val="24"/>
          <w:szCs w:val="24"/>
        </w:rPr>
        <w:t>、</w:t>
      </w:r>
      <w:r>
        <w:rPr>
          <w:rFonts w:hint="eastAsia" w:ascii="宋体" w:eastAsia="宋体" w:cs="宋体"/>
          <w:b/>
          <w:kern w:val="0"/>
          <w:sz w:val="24"/>
          <w:szCs w:val="24"/>
        </w:rPr>
        <w:t>机电</w:t>
      </w:r>
      <w:r>
        <w:rPr>
          <w:rFonts w:ascii="宋体" w:eastAsia="宋体" w:cs="宋体"/>
          <w:b/>
          <w:kern w:val="0"/>
          <w:sz w:val="24"/>
          <w:szCs w:val="24"/>
        </w:rPr>
        <w:t>部分</w:t>
      </w:r>
      <w:bookmarkEnd w:id="6"/>
    </w:p>
    <w:p>
      <w:pPr>
        <w:spacing w:line="360" w:lineRule="auto"/>
        <w:outlineLvl w:val="1"/>
        <w:rPr>
          <w:rFonts w:ascii="宋体" w:eastAsia="宋体" w:cs="宋体"/>
          <w:b/>
          <w:kern w:val="0"/>
          <w:sz w:val="24"/>
          <w:szCs w:val="24"/>
        </w:rPr>
      </w:pPr>
      <w:bookmarkStart w:id="7" w:name="_Toc490754472"/>
      <w:r>
        <w:rPr>
          <w:rFonts w:hint="eastAsia" w:ascii="宋体" w:eastAsia="宋体" w:cs="宋体"/>
          <w:b/>
          <w:kern w:val="0"/>
          <w:sz w:val="24"/>
          <w:szCs w:val="24"/>
        </w:rPr>
        <w:t>5.1导线型号与截面选取</w:t>
      </w:r>
      <w:bookmarkEnd w:id="7"/>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按照Q/GDW 1738-2012《配电网规划设计技术导则》的要求，</w:t>
      </w:r>
      <w:r>
        <w:rPr>
          <w:rFonts w:ascii="宋体" w:eastAsia="宋体" w:cs="宋体"/>
          <w:kern w:val="0"/>
          <w:sz w:val="24"/>
          <w:szCs w:val="24"/>
        </w:rPr>
        <w:t>并</w:t>
      </w:r>
      <w:r>
        <w:rPr>
          <w:rFonts w:hint="eastAsia" w:ascii="宋体" w:eastAsia="宋体" w:cs="宋体"/>
          <w:kern w:val="0"/>
          <w:sz w:val="24"/>
          <w:szCs w:val="24"/>
        </w:rPr>
        <w:t>结合</w:t>
      </w:r>
      <w:r>
        <w:rPr>
          <w:rFonts w:ascii="宋体" w:eastAsia="宋体" w:cs="宋体"/>
          <w:kern w:val="0"/>
          <w:sz w:val="24"/>
          <w:szCs w:val="24"/>
        </w:rPr>
        <w:t>泸州供电公司供电方案，本工程导线选用</w:t>
      </w:r>
      <w:r>
        <w:rPr>
          <w:rFonts w:hint="eastAsia" w:ascii="宋体" w:eastAsia="宋体" w:cs="宋体"/>
          <w:kern w:val="0"/>
          <w:sz w:val="24"/>
          <w:szCs w:val="24"/>
          <w:lang w:val="en-US" w:eastAsia="zh-CN"/>
        </w:rPr>
        <w:t>JKLGYJ-10-300/40</w:t>
      </w:r>
      <w:r>
        <w:rPr>
          <w:rFonts w:hint="eastAsia" w:ascii="宋体" w:eastAsia="宋体" w:cs="宋体"/>
          <w:kern w:val="0"/>
          <w:sz w:val="24"/>
          <w:szCs w:val="24"/>
        </w:rPr>
        <w:t>型</w:t>
      </w:r>
      <w:r>
        <w:rPr>
          <w:rFonts w:hint="eastAsia" w:ascii="宋体" w:eastAsia="宋体" w:cs="宋体"/>
          <w:kern w:val="0"/>
          <w:sz w:val="24"/>
          <w:szCs w:val="24"/>
          <w:lang w:eastAsia="zh-CN"/>
        </w:rPr>
        <w:t>架空绝缘线</w:t>
      </w:r>
      <w:r>
        <w:rPr>
          <w:rFonts w:hint="eastAsia" w:ascii="宋体" w:eastAsia="宋体" w:cs="宋体"/>
          <w:kern w:val="0"/>
          <w:sz w:val="24"/>
          <w:szCs w:val="24"/>
        </w:rPr>
        <w:t>，</w:t>
      </w:r>
      <w:r>
        <w:rPr>
          <w:rFonts w:ascii="宋体" w:eastAsia="宋体" w:cs="宋体"/>
          <w:kern w:val="0"/>
          <w:sz w:val="24"/>
          <w:szCs w:val="24"/>
        </w:rPr>
        <w:t>其允许载流量</w:t>
      </w:r>
      <w:r>
        <w:rPr>
          <w:rFonts w:hint="eastAsia" w:ascii="宋体" w:eastAsia="宋体" w:cs="宋体"/>
          <w:kern w:val="0"/>
          <w:sz w:val="24"/>
          <w:szCs w:val="24"/>
          <w:lang w:val="en-US" w:eastAsia="zh-CN"/>
        </w:rPr>
        <w:t>583</w:t>
      </w:r>
      <w:r>
        <w:rPr>
          <w:rFonts w:hint="eastAsia" w:ascii="宋体" w:eastAsia="宋体" w:cs="宋体"/>
          <w:kern w:val="0"/>
          <w:sz w:val="24"/>
          <w:szCs w:val="24"/>
        </w:rPr>
        <w:t>A。</w:t>
      </w:r>
    </w:p>
    <w:p>
      <w:pPr>
        <w:spacing w:line="360" w:lineRule="auto"/>
        <w:outlineLvl w:val="1"/>
        <w:rPr>
          <w:rFonts w:ascii="宋体" w:eastAsia="宋体" w:cs="宋体"/>
          <w:b/>
          <w:kern w:val="0"/>
          <w:sz w:val="24"/>
          <w:szCs w:val="24"/>
        </w:rPr>
      </w:pPr>
      <w:bookmarkStart w:id="8" w:name="_Toc490754473"/>
      <w:r>
        <w:rPr>
          <w:rFonts w:hint="eastAsia" w:ascii="宋体" w:eastAsia="宋体" w:cs="宋体"/>
          <w:b/>
          <w:kern w:val="0"/>
          <w:sz w:val="24"/>
          <w:szCs w:val="24"/>
        </w:rPr>
        <w:t>5.2导线参数</w:t>
      </w:r>
      <w:bookmarkEnd w:id="8"/>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5.2.1导线参数根据GB/T 1179-2008《圆线同心绞架空导线》附录E 国内常用规格的导线尺寸及导线性能按表5.2-1选取。</w:t>
      </w:r>
    </w:p>
    <w:p>
      <w:pPr>
        <w:spacing w:line="360" w:lineRule="auto"/>
        <w:ind w:left="0" w:leftChars="-67" w:hanging="141" w:hangingChars="59"/>
        <w:jc w:val="center"/>
        <w:rPr>
          <w:rFonts w:ascii="宋体" w:eastAsia="宋体" w:cs="宋体"/>
          <w:kern w:val="0"/>
          <w:sz w:val="24"/>
          <w:szCs w:val="24"/>
        </w:rPr>
      </w:pPr>
      <w:r>
        <w:rPr>
          <w:rFonts w:hint="eastAsia" w:ascii="宋体" w:eastAsia="宋体" w:cs="宋体"/>
          <w:kern w:val="0"/>
          <w:sz w:val="24"/>
          <w:szCs w:val="24"/>
        </w:rPr>
        <w:t>表5.2-1</w:t>
      </w:r>
      <w:r>
        <w:rPr>
          <w:rFonts w:hint="eastAsia" w:ascii="宋体" w:eastAsia="宋体" w:cs="宋体"/>
          <w:kern w:val="0"/>
          <w:sz w:val="24"/>
          <w:szCs w:val="24"/>
          <w:lang w:eastAsia="zh-CN"/>
        </w:rPr>
        <w:t>架空绝缘线</w:t>
      </w:r>
      <w:r>
        <w:rPr>
          <w:rFonts w:hint="eastAsia" w:ascii="宋体" w:eastAsia="宋体" w:cs="宋体"/>
          <w:kern w:val="0"/>
          <w:sz w:val="24"/>
          <w:szCs w:val="24"/>
        </w:rPr>
        <w:t>参数表</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846"/>
        <w:gridCol w:w="709"/>
        <w:gridCol w:w="24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center"/>
              <w:rPr>
                <w:rFonts w:ascii="宋体" w:eastAsia="宋体" w:cs="宋体"/>
                <w:kern w:val="0"/>
                <w:sz w:val="24"/>
                <w:szCs w:val="24"/>
              </w:rPr>
            </w:pPr>
            <w:r>
              <w:rPr>
                <w:rFonts w:hint="eastAsia" w:ascii="宋体" w:eastAsia="宋体" w:cs="宋体"/>
                <w:kern w:val="0"/>
                <w:sz w:val="24"/>
                <w:szCs w:val="24"/>
              </w:rPr>
              <w:t>型号</w:t>
            </w:r>
          </w:p>
        </w:tc>
        <w:tc>
          <w:tcPr>
            <w:tcW w:w="2410" w:type="dxa"/>
          </w:tcPr>
          <w:p>
            <w:pPr>
              <w:spacing w:line="360" w:lineRule="auto"/>
              <w:jc w:val="center"/>
              <w:rPr>
                <w:rFonts w:hint="default" w:ascii="宋体" w:eastAsia="宋体" w:cs="宋体"/>
                <w:kern w:val="0"/>
                <w:sz w:val="24"/>
                <w:szCs w:val="24"/>
                <w:lang w:val="en-US"/>
              </w:rPr>
            </w:pPr>
            <w:r>
              <w:rPr>
                <w:rFonts w:hint="eastAsia" w:ascii="宋体" w:eastAsia="宋体" w:cs="宋体"/>
                <w:kern w:val="0"/>
                <w:sz w:val="24"/>
                <w:szCs w:val="24"/>
                <w:lang w:val="en-US" w:eastAsia="zh-CN"/>
              </w:rPr>
              <w:t>JKLGYJ</w:t>
            </w:r>
            <w:r>
              <w:rPr>
                <w:rFonts w:ascii="宋体" w:eastAsia="宋体" w:cs="宋体"/>
                <w:kern w:val="0"/>
                <w:sz w:val="24"/>
                <w:szCs w:val="24"/>
              </w:rPr>
              <w:t>-</w:t>
            </w:r>
            <w:r>
              <w:rPr>
                <w:rFonts w:hint="eastAsia" w:ascii="宋体" w:eastAsia="宋体" w:cs="宋体"/>
                <w:kern w:val="0"/>
                <w:sz w:val="24"/>
                <w:szCs w:val="24"/>
                <w:lang w:val="en-US" w:eastAsia="zh-CN"/>
              </w:rPr>
              <w:t>10-300/40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846" w:type="dxa"/>
            <w:vMerge w:val="restart"/>
            <w:vAlign w:val="center"/>
          </w:tcPr>
          <w:p>
            <w:pPr>
              <w:spacing w:line="360" w:lineRule="auto"/>
              <w:jc w:val="center"/>
              <w:rPr>
                <w:rFonts w:ascii="宋体" w:eastAsia="宋体" w:cs="宋体"/>
                <w:kern w:val="0"/>
                <w:sz w:val="24"/>
                <w:szCs w:val="24"/>
              </w:rPr>
            </w:pPr>
            <w:r>
              <w:rPr>
                <w:rFonts w:hint="eastAsia" w:ascii="宋体" w:eastAsia="宋体" w:cs="宋体"/>
                <w:kern w:val="0"/>
                <w:sz w:val="24"/>
                <w:szCs w:val="24"/>
              </w:rPr>
              <w:t>构造</w:t>
            </w:r>
            <w:r>
              <w:rPr>
                <w:rFonts w:ascii="宋体" w:eastAsia="宋体" w:cs="宋体"/>
                <w:kern w:val="0"/>
                <w:sz w:val="24"/>
                <w:szCs w:val="24"/>
              </w:rPr>
              <w:t>（</w:t>
            </w:r>
            <w:r>
              <w:rPr>
                <w:rFonts w:hint="eastAsia" w:ascii="宋体" w:eastAsia="宋体" w:cs="宋体"/>
                <w:kern w:val="0"/>
                <w:sz w:val="24"/>
                <w:szCs w:val="24"/>
              </w:rPr>
              <w:t>根数</w:t>
            </w:r>
            <w:r>
              <w:rPr>
                <w:rFonts w:ascii="宋体" w:eastAsia="宋体" w:cs="宋体"/>
                <w:kern w:val="0"/>
                <w:sz w:val="24"/>
                <w:szCs w:val="24"/>
              </w:rPr>
              <w:t>×直径</w:t>
            </w:r>
            <w:r>
              <w:rPr>
                <w:rFonts w:hint="eastAsia" w:ascii="宋体" w:eastAsia="宋体" w:cs="宋体"/>
                <w:kern w:val="0"/>
                <w:sz w:val="24"/>
                <w:szCs w:val="24"/>
              </w:rPr>
              <w:t>，mm</w:t>
            </w:r>
            <w:r>
              <w:rPr>
                <w:rFonts w:ascii="宋体" w:eastAsia="宋体" w:cs="宋体"/>
                <w:kern w:val="0"/>
                <w:sz w:val="24"/>
                <w:szCs w:val="24"/>
              </w:rPr>
              <w:t>）</w:t>
            </w:r>
          </w:p>
        </w:tc>
        <w:tc>
          <w:tcPr>
            <w:tcW w:w="709"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铝</w:t>
            </w:r>
          </w:p>
        </w:tc>
        <w:tc>
          <w:tcPr>
            <w:tcW w:w="2410" w:type="dxa"/>
          </w:tcPr>
          <w:p>
            <w:pPr>
              <w:spacing w:line="360" w:lineRule="auto"/>
              <w:jc w:val="center"/>
              <w:rPr>
                <w:rFonts w:hint="default" w:ascii="宋体" w:eastAsia="宋体" w:cs="宋体"/>
                <w:kern w:val="0"/>
                <w:sz w:val="24"/>
                <w:szCs w:val="24"/>
                <w:lang w:val="en-US" w:eastAsia="zh-CN"/>
              </w:rPr>
            </w:pPr>
            <w:r>
              <w:rPr>
                <w:rFonts w:hint="eastAsia" w:ascii="宋体" w:eastAsia="宋体" w:cs="宋体"/>
                <w:kern w:val="0"/>
                <w:sz w:val="24"/>
                <w:szCs w:val="24"/>
                <w:lang w:val="en-US" w:eastAsia="zh-CN"/>
              </w:rPr>
              <w:t>24</w:t>
            </w:r>
            <w:r>
              <w:rPr>
                <w:rFonts w:ascii="宋体" w:eastAsia="宋体" w:cs="宋体"/>
                <w:kern w:val="0"/>
                <w:sz w:val="24"/>
                <w:szCs w:val="24"/>
              </w:rPr>
              <w:t>×</w:t>
            </w:r>
            <w:r>
              <w:rPr>
                <w:rFonts w:hint="eastAsia" w:ascii="宋体" w:eastAsia="宋体" w:cs="宋体"/>
                <w:kern w:val="0"/>
                <w:sz w:val="24"/>
                <w:szCs w:val="24"/>
                <w:lang w:val="en-US" w:eastAsia="zh-CN"/>
              </w:rPr>
              <w:t>3.99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846" w:type="dxa"/>
            <w:vMerge w:val="continue"/>
          </w:tcPr>
          <w:p>
            <w:pPr>
              <w:spacing w:line="360" w:lineRule="auto"/>
              <w:jc w:val="center"/>
              <w:rPr>
                <w:rFonts w:ascii="宋体" w:eastAsia="宋体" w:cs="宋体"/>
                <w:kern w:val="0"/>
                <w:sz w:val="24"/>
                <w:szCs w:val="24"/>
              </w:rPr>
            </w:pPr>
          </w:p>
        </w:tc>
        <w:tc>
          <w:tcPr>
            <w:tcW w:w="709"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钢</w:t>
            </w:r>
          </w:p>
        </w:tc>
        <w:tc>
          <w:tcPr>
            <w:tcW w:w="2410" w:type="dxa"/>
          </w:tcPr>
          <w:p>
            <w:pPr>
              <w:spacing w:line="360" w:lineRule="auto"/>
              <w:jc w:val="center"/>
              <w:rPr>
                <w:rFonts w:hint="default" w:ascii="宋体" w:eastAsia="宋体" w:cs="宋体"/>
                <w:kern w:val="0"/>
                <w:sz w:val="24"/>
                <w:szCs w:val="24"/>
                <w:lang w:val="en-US" w:eastAsia="zh-CN"/>
              </w:rPr>
            </w:pPr>
            <w:r>
              <w:rPr>
                <w:rFonts w:ascii="宋体" w:eastAsia="宋体" w:cs="宋体"/>
                <w:kern w:val="0"/>
                <w:sz w:val="24"/>
                <w:szCs w:val="24"/>
              </w:rPr>
              <w:t>7×</w:t>
            </w:r>
            <w:r>
              <w:rPr>
                <w:rFonts w:hint="eastAsia" w:ascii="宋体" w:eastAsia="宋体" w:cs="宋体"/>
                <w:kern w:val="0"/>
                <w:sz w:val="24"/>
                <w:szCs w:val="24"/>
                <w:lang w:val="en-US" w:eastAsia="zh-CN"/>
              </w:rPr>
              <w:t>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left"/>
              <w:rPr>
                <w:rFonts w:ascii="宋体" w:eastAsia="宋体" w:cs="宋体"/>
                <w:kern w:val="0"/>
                <w:sz w:val="24"/>
                <w:szCs w:val="24"/>
              </w:rPr>
            </w:pPr>
            <w:r>
              <w:rPr>
                <w:rFonts w:hint="eastAsia" w:ascii="宋体" w:eastAsia="宋体" w:cs="宋体"/>
                <w:kern w:val="0"/>
                <w:sz w:val="24"/>
                <w:szCs w:val="24"/>
                <w:lang w:eastAsia="zh-CN"/>
              </w:rPr>
              <w:t>外径</w:t>
            </w:r>
            <w:r>
              <w:rPr>
                <w:rFonts w:hint="eastAsia" w:ascii="宋体" w:eastAsia="宋体" w:cs="宋体"/>
                <w:kern w:val="0"/>
                <w:sz w:val="24"/>
                <w:szCs w:val="24"/>
              </w:rPr>
              <w:t>（mm）</w:t>
            </w:r>
          </w:p>
        </w:tc>
        <w:tc>
          <w:tcPr>
            <w:tcW w:w="2410" w:type="dxa"/>
          </w:tcPr>
          <w:p>
            <w:pPr>
              <w:spacing w:line="360" w:lineRule="auto"/>
              <w:jc w:val="center"/>
              <w:rPr>
                <w:rFonts w:hint="default" w:ascii="宋体" w:eastAsia="宋体" w:cs="宋体"/>
                <w:kern w:val="0"/>
                <w:sz w:val="24"/>
                <w:szCs w:val="24"/>
                <w:lang w:val="en-US" w:eastAsia="zh-CN"/>
              </w:rPr>
            </w:pPr>
            <w:r>
              <w:rPr>
                <w:rFonts w:hint="eastAsia" w:ascii="宋体" w:eastAsia="宋体" w:cs="宋体"/>
                <w:kern w:val="0"/>
                <w:sz w:val="24"/>
                <w:szCs w:val="24"/>
                <w:lang w:val="en-US" w:eastAsia="zh-CN"/>
              </w:rPr>
              <w:t>23.0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left"/>
              <w:rPr>
                <w:rFonts w:ascii="宋体" w:eastAsia="宋体" w:cs="宋体"/>
                <w:kern w:val="0"/>
                <w:sz w:val="24"/>
                <w:szCs w:val="24"/>
              </w:rPr>
            </w:pPr>
            <w:r>
              <w:rPr>
                <w:rFonts w:hint="eastAsia" w:ascii="宋体" w:eastAsia="宋体" w:cs="宋体"/>
                <w:kern w:val="0"/>
                <w:sz w:val="24"/>
                <w:szCs w:val="24"/>
              </w:rPr>
              <w:t>单位质量（kg/km）</w:t>
            </w:r>
          </w:p>
        </w:tc>
        <w:tc>
          <w:tcPr>
            <w:tcW w:w="2410" w:type="dxa"/>
          </w:tcPr>
          <w:p>
            <w:pPr>
              <w:spacing w:line="360" w:lineRule="auto"/>
              <w:jc w:val="center"/>
              <w:rPr>
                <w:rFonts w:hint="default" w:ascii="宋体" w:eastAsia="宋体" w:cs="宋体"/>
                <w:kern w:val="0"/>
                <w:sz w:val="24"/>
                <w:szCs w:val="24"/>
                <w:lang w:val="en-US" w:eastAsia="zh-CN"/>
              </w:rPr>
            </w:pPr>
            <w:r>
              <w:rPr>
                <w:rFonts w:hint="eastAsia" w:ascii="宋体" w:eastAsia="宋体" w:cs="宋体"/>
                <w:kern w:val="0"/>
                <w:sz w:val="24"/>
                <w:szCs w:val="24"/>
                <w:lang w:val="en-US" w:eastAsia="zh-CN"/>
              </w:rPr>
              <w:t>1459.1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left"/>
              <w:rPr>
                <w:rFonts w:ascii="宋体" w:eastAsia="宋体" w:cs="宋体"/>
                <w:kern w:val="0"/>
                <w:sz w:val="24"/>
                <w:szCs w:val="24"/>
              </w:rPr>
            </w:pPr>
            <w:r>
              <w:rPr>
                <w:rFonts w:hint="eastAsia" w:ascii="宋体" w:eastAsia="宋体" w:cs="宋体"/>
                <w:kern w:val="0"/>
                <w:sz w:val="24"/>
                <w:szCs w:val="24"/>
              </w:rPr>
              <w:t>综合弹性系数（MPa）</w:t>
            </w:r>
          </w:p>
        </w:tc>
        <w:tc>
          <w:tcPr>
            <w:tcW w:w="2410" w:type="dxa"/>
          </w:tcPr>
          <w:p>
            <w:pPr>
              <w:spacing w:line="360" w:lineRule="auto"/>
              <w:jc w:val="center"/>
              <w:rPr>
                <w:rFonts w:ascii="宋体" w:eastAsia="宋体" w:cs="宋体"/>
                <w:kern w:val="0"/>
                <w:sz w:val="24"/>
                <w:szCs w:val="24"/>
              </w:rPr>
            </w:pPr>
            <w:r>
              <w:rPr>
                <w:rFonts w:ascii="宋体" w:eastAsia="宋体" w:cs="宋体"/>
                <w:kern w:val="0"/>
                <w:sz w:val="24"/>
                <w:szCs w:val="24"/>
              </w:rPr>
              <w:t>73000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left"/>
              <w:rPr>
                <w:rFonts w:ascii="宋体" w:eastAsia="宋体" w:cs="宋体"/>
                <w:kern w:val="0"/>
                <w:sz w:val="24"/>
                <w:szCs w:val="24"/>
              </w:rPr>
            </w:pPr>
            <w:r>
              <w:rPr>
                <w:rFonts w:hint="eastAsia" w:ascii="宋体" w:eastAsia="宋体" w:cs="宋体"/>
                <w:kern w:val="0"/>
                <w:sz w:val="24"/>
                <w:szCs w:val="24"/>
              </w:rPr>
              <w:t>直流电阻Ω/km</w:t>
            </w:r>
          </w:p>
        </w:tc>
        <w:tc>
          <w:tcPr>
            <w:tcW w:w="2410" w:type="dxa"/>
          </w:tcPr>
          <w:p>
            <w:pPr>
              <w:spacing w:line="360" w:lineRule="auto"/>
              <w:jc w:val="center"/>
              <w:rPr>
                <w:rFonts w:hint="default" w:ascii="宋体" w:eastAsia="宋体" w:cs="宋体"/>
                <w:kern w:val="0"/>
                <w:sz w:val="24"/>
                <w:szCs w:val="24"/>
                <w:lang w:val="en-US" w:eastAsia="zh-CN"/>
              </w:rPr>
            </w:pPr>
            <w:r>
              <w:rPr>
                <w:rFonts w:hint="eastAsia" w:ascii="宋体" w:eastAsia="宋体" w:cs="宋体"/>
                <w:kern w:val="0"/>
                <w:sz w:val="24"/>
                <w:szCs w:val="24"/>
                <w:lang w:val="en-US" w:eastAsia="zh-CN"/>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left"/>
              <w:rPr>
                <w:rFonts w:ascii="宋体" w:eastAsia="宋体" w:cs="宋体"/>
                <w:kern w:val="0"/>
                <w:sz w:val="24"/>
                <w:szCs w:val="24"/>
              </w:rPr>
            </w:pPr>
            <w:r>
              <w:rPr>
                <w:rFonts w:hint="eastAsia" w:ascii="宋体" w:eastAsia="宋体" w:cs="宋体"/>
                <w:kern w:val="0"/>
                <w:sz w:val="24"/>
                <w:szCs w:val="24"/>
              </w:rPr>
              <w:t>线膨胀系数（1/℃）</w:t>
            </w:r>
          </w:p>
        </w:tc>
        <w:tc>
          <w:tcPr>
            <w:tcW w:w="2410" w:type="dxa"/>
          </w:tcPr>
          <w:p>
            <w:pPr>
              <w:spacing w:line="360" w:lineRule="auto"/>
              <w:jc w:val="center"/>
              <w:rPr>
                <w:rFonts w:ascii="宋体" w:eastAsia="宋体" w:cs="宋体"/>
                <w:kern w:val="0"/>
                <w:sz w:val="24"/>
                <w:szCs w:val="24"/>
              </w:rPr>
            </w:pPr>
            <w:r>
              <w:rPr>
                <w:rFonts w:ascii="宋体" w:eastAsia="宋体" w:cs="宋体"/>
                <w:kern w:val="0"/>
                <w:sz w:val="24"/>
                <w:szCs w:val="24"/>
              </w:rPr>
              <w:t>0.0000196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55" w:type="dxa"/>
            <w:gridSpan w:val="2"/>
          </w:tcPr>
          <w:p>
            <w:pPr>
              <w:spacing w:line="360" w:lineRule="auto"/>
              <w:jc w:val="left"/>
              <w:rPr>
                <w:rFonts w:ascii="宋体" w:eastAsia="宋体" w:cs="宋体"/>
                <w:kern w:val="0"/>
                <w:sz w:val="24"/>
                <w:szCs w:val="24"/>
              </w:rPr>
            </w:pPr>
            <w:r>
              <w:rPr>
                <w:rFonts w:hint="eastAsia" w:ascii="宋体" w:eastAsia="宋体" w:cs="宋体"/>
                <w:kern w:val="0"/>
                <w:sz w:val="24"/>
                <w:szCs w:val="24"/>
              </w:rPr>
              <w:t>计算拉断力（N）</w:t>
            </w:r>
          </w:p>
        </w:tc>
        <w:tc>
          <w:tcPr>
            <w:tcW w:w="2410" w:type="dxa"/>
          </w:tcPr>
          <w:p>
            <w:pPr>
              <w:spacing w:line="360" w:lineRule="auto"/>
              <w:jc w:val="center"/>
              <w:rPr>
                <w:rFonts w:hint="default" w:ascii="宋体" w:eastAsia="宋体" w:cs="宋体"/>
                <w:kern w:val="0"/>
                <w:sz w:val="24"/>
                <w:szCs w:val="24"/>
                <w:lang w:val="en-US" w:eastAsia="zh-CN"/>
              </w:rPr>
            </w:pPr>
            <w:r>
              <w:rPr>
                <w:rFonts w:hint="eastAsia" w:ascii="宋体" w:eastAsia="宋体" w:cs="宋体"/>
                <w:kern w:val="0"/>
                <w:sz w:val="24"/>
                <w:szCs w:val="24"/>
                <w:lang w:val="en-US" w:eastAsia="zh-CN"/>
              </w:rPr>
              <w:t>83000</w:t>
            </w:r>
          </w:p>
        </w:tc>
      </w:tr>
    </w:tbl>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本工程选用导线安全系数取10。最大使用应力为</w:t>
      </w:r>
      <w:r>
        <w:rPr>
          <w:rFonts w:ascii="宋体" w:eastAsia="宋体" w:cs="宋体"/>
          <w:kern w:val="0"/>
          <w:sz w:val="24"/>
          <w:szCs w:val="24"/>
        </w:rPr>
        <w:t>26.03N/mm</w:t>
      </w:r>
      <w:r>
        <w:rPr>
          <w:rFonts w:ascii="宋体" w:eastAsia="宋体" w:cs="宋体"/>
          <w:kern w:val="0"/>
          <w:sz w:val="24"/>
          <w:szCs w:val="24"/>
          <w:vertAlign w:val="superscript"/>
        </w:rPr>
        <w:t>2</w:t>
      </w:r>
      <w:r>
        <w:rPr>
          <w:rFonts w:hint="eastAsia" w:ascii="宋体" w:eastAsia="宋体" w:cs="宋体"/>
          <w:kern w:val="0"/>
          <w:sz w:val="24"/>
          <w:szCs w:val="24"/>
        </w:rPr>
        <w:t>，年平运行应力上限</w:t>
      </w:r>
      <w:r>
        <w:rPr>
          <w:rFonts w:ascii="宋体" w:eastAsia="宋体" w:cs="宋体"/>
          <w:kern w:val="0"/>
          <w:sz w:val="24"/>
          <w:szCs w:val="24"/>
        </w:rPr>
        <w:t>（</w:t>
      </w:r>
      <w:r>
        <w:rPr>
          <w:rFonts w:hint="eastAsia" w:ascii="宋体" w:eastAsia="宋体" w:cs="宋体"/>
          <w:kern w:val="0"/>
          <w:sz w:val="24"/>
          <w:szCs w:val="24"/>
        </w:rPr>
        <w:t>25</w:t>
      </w:r>
      <w:r>
        <w:rPr>
          <w:rFonts w:ascii="宋体" w:eastAsia="宋体" w:cs="宋体"/>
          <w:kern w:val="0"/>
          <w:sz w:val="24"/>
          <w:szCs w:val="24"/>
        </w:rPr>
        <w:t>%）65.08N/mm</w:t>
      </w:r>
      <w:r>
        <w:rPr>
          <w:rFonts w:ascii="宋体" w:eastAsia="宋体" w:cs="宋体"/>
          <w:kern w:val="0"/>
          <w:sz w:val="24"/>
          <w:szCs w:val="24"/>
          <w:vertAlign w:val="superscript"/>
        </w:rPr>
        <w:t>2</w:t>
      </w:r>
      <w:r>
        <w:rPr>
          <w:rFonts w:hint="eastAsia" w:ascii="宋体" w:eastAsia="宋体" w:cs="宋体"/>
          <w:kern w:val="0"/>
          <w:sz w:val="24"/>
          <w:szCs w:val="24"/>
        </w:rPr>
        <w:t>。</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控制条件</w:t>
      </w:r>
      <w:r>
        <w:rPr>
          <w:rFonts w:ascii="宋体" w:eastAsia="宋体" w:cs="宋体"/>
          <w:kern w:val="0"/>
          <w:sz w:val="24"/>
          <w:szCs w:val="24"/>
        </w:rPr>
        <w:t>：</w:t>
      </w:r>
      <w:r>
        <w:rPr>
          <w:rFonts w:hint="eastAsia" w:ascii="宋体" w:eastAsia="宋体" w:cs="宋体"/>
          <w:kern w:val="0"/>
          <w:sz w:val="24"/>
          <w:szCs w:val="24"/>
        </w:rPr>
        <w:t>20m≥LD≥</w:t>
      </w:r>
      <w:r>
        <w:rPr>
          <w:rFonts w:ascii="宋体" w:eastAsia="宋体" w:cs="宋体"/>
          <w:kern w:val="0"/>
          <w:sz w:val="24"/>
          <w:szCs w:val="24"/>
        </w:rPr>
        <w:t>62.1</w:t>
      </w:r>
      <w:r>
        <w:rPr>
          <w:rFonts w:hint="eastAsia" w:ascii="宋体" w:eastAsia="宋体" w:cs="宋体"/>
          <w:kern w:val="0"/>
          <w:sz w:val="24"/>
          <w:szCs w:val="24"/>
        </w:rPr>
        <w:t>m由低温控制，</w:t>
      </w:r>
      <w:r>
        <w:rPr>
          <w:rFonts w:ascii="宋体" w:eastAsia="宋体" w:cs="宋体"/>
          <w:kern w:val="0"/>
          <w:sz w:val="24"/>
          <w:szCs w:val="24"/>
        </w:rPr>
        <w:t>,62.1</w:t>
      </w:r>
      <w:r>
        <w:rPr>
          <w:rFonts w:hint="eastAsia" w:ascii="宋体" w:eastAsia="宋体" w:cs="宋体"/>
          <w:kern w:val="0"/>
          <w:sz w:val="24"/>
          <w:szCs w:val="24"/>
        </w:rPr>
        <w:t>m≥LD≥</w:t>
      </w:r>
      <w:r>
        <w:rPr>
          <w:rFonts w:ascii="宋体" w:eastAsia="宋体" w:cs="宋体"/>
          <w:kern w:val="0"/>
          <w:sz w:val="24"/>
          <w:szCs w:val="24"/>
        </w:rPr>
        <w:t>200</w:t>
      </w:r>
      <w:r>
        <w:rPr>
          <w:rFonts w:hint="eastAsia" w:ascii="宋体" w:eastAsia="宋体" w:cs="宋体"/>
          <w:kern w:val="0"/>
          <w:sz w:val="24"/>
          <w:szCs w:val="24"/>
        </w:rPr>
        <w:t>m由大风控制。</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5.</w:t>
      </w:r>
      <w:r>
        <w:rPr>
          <w:rFonts w:ascii="宋体" w:eastAsia="宋体" w:cs="宋体"/>
          <w:kern w:val="0"/>
          <w:sz w:val="24"/>
          <w:szCs w:val="24"/>
        </w:rPr>
        <w:t>2.2</w:t>
      </w:r>
      <w:r>
        <w:rPr>
          <w:rFonts w:hint="eastAsia" w:ascii="宋体" w:eastAsia="宋体" w:cs="宋体"/>
          <w:kern w:val="0"/>
          <w:sz w:val="24"/>
          <w:szCs w:val="24"/>
        </w:rPr>
        <w:t>导线应力弧垂表</w:t>
      </w:r>
    </w:p>
    <w:p>
      <w:pPr>
        <w:spacing w:line="360" w:lineRule="auto"/>
        <w:ind w:firstLine="424" w:firstLineChars="177"/>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导线应力弧垂表的左侧表格给出了导线的外径、截面、拉断力、单位重、最大使用应力、安全系数、气象区参数及导线的计算比载等。右侧表格给出了导线在高温、低温、安装、外部过电压（简称外过）、内部过电压（简称内过）、大风、覆冰、平均及架线气象条件等情况下的导线应力和弧垂的数值。</w:t>
      </w:r>
    </w:p>
    <w:p>
      <w:pPr>
        <w:spacing w:line="360" w:lineRule="auto"/>
        <w:outlineLvl w:val="0"/>
        <w:rPr>
          <w:rFonts w:ascii="宋体" w:eastAsia="宋体" w:cs="宋体"/>
          <w:b/>
          <w:kern w:val="0"/>
          <w:sz w:val="24"/>
          <w:szCs w:val="24"/>
        </w:rPr>
      </w:pPr>
      <w:bookmarkStart w:id="9" w:name="_Toc490754474"/>
      <w:r>
        <w:rPr>
          <w:rFonts w:hint="eastAsia" w:ascii="宋体" w:eastAsia="宋体" w:cs="宋体"/>
          <w:b/>
          <w:kern w:val="0"/>
          <w:sz w:val="24"/>
          <w:szCs w:val="24"/>
        </w:rPr>
        <w:t>六</w:t>
      </w:r>
      <w:r>
        <w:rPr>
          <w:rFonts w:ascii="宋体" w:eastAsia="宋体" w:cs="宋体"/>
          <w:b/>
          <w:kern w:val="0"/>
          <w:sz w:val="24"/>
          <w:szCs w:val="24"/>
        </w:rPr>
        <w:t>、</w:t>
      </w:r>
      <w:r>
        <w:rPr>
          <w:rFonts w:hint="eastAsia" w:ascii="宋体" w:eastAsia="宋体" w:cs="宋体"/>
          <w:b/>
          <w:kern w:val="0"/>
          <w:sz w:val="24"/>
          <w:szCs w:val="24"/>
        </w:rPr>
        <w:t>杆型选取和使用</w:t>
      </w:r>
      <w:bookmarkEnd w:id="9"/>
    </w:p>
    <w:p>
      <w:pPr>
        <w:spacing w:line="360" w:lineRule="auto"/>
        <w:outlineLvl w:val="1"/>
        <w:rPr>
          <w:rFonts w:ascii="宋体" w:eastAsia="宋体" w:cs="宋体"/>
          <w:b/>
          <w:kern w:val="0"/>
          <w:sz w:val="24"/>
          <w:szCs w:val="24"/>
        </w:rPr>
      </w:pPr>
      <w:bookmarkStart w:id="10" w:name="_Toc490754475"/>
      <w:r>
        <w:rPr>
          <w:rFonts w:hint="eastAsia" w:ascii="宋体" w:eastAsia="宋体" w:cs="宋体"/>
          <w:b/>
          <w:kern w:val="0"/>
          <w:sz w:val="24"/>
          <w:szCs w:val="24"/>
        </w:rPr>
        <w:t>6.1杆型分类</w:t>
      </w:r>
      <w:bookmarkEnd w:id="10"/>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1）本工程设计采用</w:t>
      </w:r>
      <w:r>
        <w:rPr>
          <w:rFonts w:hint="eastAsia" w:ascii="宋体" w:eastAsia="宋体" w:cs="宋体"/>
          <w:kern w:val="0"/>
          <w:sz w:val="24"/>
          <w:szCs w:val="24"/>
          <w:lang w:eastAsia="zh-CN"/>
        </w:rPr>
        <w:t>双回电缆终端</w:t>
      </w:r>
      <w:r>
        <w:rPr>
          <w:rFonts w:hint="eastAsia" w:ascii="宋体" w:eastAsia="宋体" w:cs="宋体"/>
          <w:kern w:val="0"/>
          <w:sz w:val="24"/>
          <w:szCs w:val="24"/>
        </w:rPr>
        <w:t>水泥单杆、</w:t>
      </w:r>
      <w:r>
        <w:rPr>
          <w:rFonts w:hint="eastAsia" w:ascii="宋体" w:eastAsia="宋体" w:cs="宋体"/>
          <w:kern w:val="0"/>
          <w:sz w:val="24"/>
          <w:szCs w:val="24"/>
          <w:lang w:eastAsia="zh-CN"/>
        </w:rPr>
        <w:t>双回直线单</w:t>
      </w:r>
      <w:r>
        <w:rPr>
          <w:rFonts w:hint="eastAsia" w:ascii="宋体" w:eastAsia="宋体" w:cs="宋体"/>
          <w:kern w:val="0"/>
          <w:sz w:val="24"/>
          <w:szCs w:val="24"/>
        </w:rPr>
        <w:t>杆</w:t>
      </w:r>
      <w:r>
        <w:rPr>
          <w:rFonts w:hint="eastAsia" w:ascii="宋体" w:eastAsia="宋体" w:cs="宋体"/>
          <w:kern w:val="0"/>
          <w:sz w:val="24"/>
          <w:szCs w:val="24"/>
          <w:lang w:eastAsia="zh-CN"/>
        </w:rPr>
        <w:t>、双回耐张转角单杆、双回直线耐张单杆</w:t>
      </w:r>
      <w:r>
        <w:rPr>
          <w:rFonts w:hint="eastAsia" w:ascii="宋体" w:eastAsia="宋体" w:cs="宋体"/>
          <w:kern w:val="0"/>
          <w:sz w:val="24"/>
          <w:szCs w:val="24"/>
        </w:rPr>
        <w:t>的</w:t>
      </w:r>
      <w:r>
        <w:rPr>
          <w:rFonts w:hint="eastAsia" w:ascii="宋体" w:eastAsia="宋体" w:cs="宋体"/>
          <w:kern w:val="0"/>
          <w:sz w:val="24"/>
          <w:szCs w:val="24"/>
          <w:lang w:eastAsia="zh-CN"/>
        </w:rPr>
        <w:t>四</w:t>
      </w:r>
      <w:r>
        <w:rPr>
          <w:rFonts w:hint="eastAsia" w:ascii="宋体" w:eastAsia="宋体" w:cs="宋体"/>
          <w:kern w:val="0"/>
          <w:sz w:val="24"/>
          <w:szCs w:val="24"/>
        </w:rPr>
        <w:t>种杆头布置型式。</w:t>
      </w:r>
    </w:p>
    <w:p>
      <w:pPr>
        <w:spacing w:line="360" w:lineRule="auto"/>
        <w:ind w:firstLine="424" w:firstLineChars="177"/>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）本工程设计采用使电杆受力最大的杆头型式进行结构计算。</w:t>
      </w:r>
    </w:p>
    <w:p>
      <w:pPr>
        <w:spacing w:line="360" w:lineRule="auto"/>
        <w:outlineLvl w:val="1"/>
        <w:rPr>
          <w:rFonts w:ascii="宋体" w:eastAsia="宋体" w:cs="宋体"/>
          <w:b/>
          <w:kern w:val="0"/>
          <w:sz w:val="24"/>
          <w:szCs w:val="24"/>
        </w:rPr>
      </w:pPr>
      <w:bookmarkStart w:id="11" w:name="_Toc490754476"/>
      <w:r>
        <w:rPr>
          <w:rFonts w:hint="eastAsia" w:ascii="宋体" w:eastAsia="宋体" w:cs="宋体"/>
          <w:b/>
          <w:kern w:val="0"/>
          <w:sz w:val="24"/>
          <w:szCs w:val="24"/>
        </w:rPr>
        <w:t>6.2杆塔回路数及</w:t>
      </w:r>
      <w:r>
        <w:rPr>
          <w:rFonts w:ascii="宋体" w:eastAsia="宋体" w:cs="宋体"/>
          <w:b/>
          <w:kern w:val="0"/>
          <w:sz w:val="24"/>
          <w:szCs w:val="24"/>
        </w:rPr>
        <w:t>排列形式</w:t>
      </w:r>
      <w:bookmarkEnd w:id="11"/>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本工程</w:t>
      </w:r>
      <w:r>
        <w:rPr>
          <w:rFonts w:ascii="宋体" w:eastAsia="宋体" w:cs="宋体"/>
          <w:kern w:val="0"/>
          <w:sz w:val="24"/>
          <w:szCs w:val="24"/>
        </w:rPr>
        <w:t>为</w:t>
      </w:r>
      <w:r>
        <w:rPr>
          <w:rFonts w:hint="eastAsia" w:ascii="宋体" w:eastAsia="宋体" w:cs="宋体"/>
          <w:kern w:val="0"/>
          <w:sz w:val="24"/>
          <w:szCs w:val="24"/>
        </w:rPr>
        <w:t>双回10kV线路，并</w:t>
      </w:r>
      <w:r>
        <w:rPr>
          <w:rFonts w:ascii="宋体" w:eastAsia="宋体" w:cs="宋体"/>
          <w:kern w:val="0"/>
          <w:sz w:val="24"/>
          <w:szCs w:val="24"/>
        </w:rPr>
        <w:t>采用</w:t>
      </w:r>
      <w:r>
        <w:rPr>
          <w:rFonts w:hint="eastAsia" w:ascii="宋体" w:eastAsia="宋体" w:cs="宋体"/>
          <w:kern w:val="0"/>
          <w:sz w:val="24"/>
          <w:szCs w:val="24"/>
          <w:lang w:eastAsia="zh-CN"/>
        </w:rPr>
        <w:t>三角形</w:t>
      </w:r>
      <w:r>
        <w:rPr>
          <w:rFonts w:ascii="宋体" w:eastAsia="宋体" w:cs="宋体"/>
          <w:kern w:val="0"/>
          <w:sz w:val="24"/>
          <w:szCs w:val="24"/>
        </w:rPr>
        <w:t>排列形式。</w:t>
      </w:r>
    </w:p>
    <w:p>
      <w:pPr>
        <w:spacing w:line="360" w:lineRule="auto"/>
        <w:outlineLvl w:val="1"/>
        <w:rPr>
          <w:rFonts w:hint="eastAsia" w:ascii="宋体" w:eastAsia="宋体" w:cs="宋体"/>
          <w:kern w:val="0"/>
          <w:sz w:val="24"/>
          <w:szCs w:val="24"/>
        </w:rPr>
      </w:pPr>
      <w:bookmarkStart w:id="12" w:name="_Toc490754477"/>
      <w:r>
        <w:rPr>
          <w:rFonts w:hint="eastAsia" w:ascii="宋体" w:eastAsia="宋体" w:cs="宋体"/>
          <w:b/>
          <w:kern w:val="0"/>
          <w:sz w:val="24"/>
          <w:szCs w:val="24"/>
        </w:rPr>
        <w:t>6.3本工程</w:t>
      </w:r>
      <w:r>
        <w:rPr>
          <w:rFonts w:ascii="宋体" w:eastAsia="宋体" w:cs="宋体"/>
          <w:b/>
          <w:kern w:val="0"/>
          <w:sz w:val="24"/>
          <w:szCs w:val="24"/>
        </w:rPr>
        <w:t>使用杆型</w:t>
      </w:r>
      <w:bookmarkEnd w:id="12"/>
    </w:p>
    <w:p>
      <w:pPr>
        <w:spacing w:line="360" w:lineRule="auto"/>
        <w:jc w:val="center"/>
        <w:rPr>
          <w:rFonts w:ascii="宋体" w:eastAsia="宋体" w:cs="宋体"/>
          <w:kern w:val="0"/>
          <w:sz w:val="24"/>
          <w:szCs w:val="24"/>
        </w:rPr>
      </w:pPr>
      <w:r>
        <w:rPr>
          <w:rFonts w:hint="eastAsia" w:ascii="宋体" w:eastAsia="宋体" w:cs="宋体"/>
          <w:kern w:val="0"/>
          <w:sz w:val="24"/>
          <w:szCs w:val="24"/>
        </w:rPr>
        <w:t>表6.3-1本工程使用杆型一览表</w:t>
      </w:r>
    </w:p>
    <w:tbl>
      <w:tblPr>
        <w:tblStyle w:val="1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1"/>
        <w:gridCol w:w="655"/>
        <w:gridCol w:w="948"/>
        <w:gridCol w:w="850"/>
        <w:gridCol w:w="89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电杆类型</w:t>
            </w:r>
          </w:p>
        </w:tc>
        <w:tc>
          <w:tcPr>
            <w:tcW w:w="655" w:type="dxa"/>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杆头型号</w:t>
            </w:r>
          </w:p>
        </w:tc>
        <w:tc>
          <w:tcPr>
            <w:tcW w:w="948" w:type="dxa"/>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杆型</w:t>
            </w:r>
          </w:p>
          <w:p>
            <w:pPr>
              <w:spacing w:line="360" w:lineRule="auto"/>
              <w:jc w:val="center"/>
              <w:rPr>
                <w:rFonts w:ascii="宋体" w:eastAsia="宋体" w:cs="宋体"/>
                <w:kern w:val="0"/>
                <w:sz w:val="21"/>
                <w:szCs w:val="21"/>
              </w:rPr>
            </w:pPr>
            <w:r>
              <w:rPr>
                <w:rFonts w:hint="eastAsia" w:ascii="宋体" w:eastAsia="宋体" w:cs="宋体"/>
                <w:kern w:val="0"/>
                <w:sz w:val="21"/>
                <w:szCs w:val="21"/>
              </w:rPr>
              <w:t>名称</w:t>
            </w:r>
          </w:p>
        </w:tc>
        <w:tc>
          <w:tcPr>
            <w:tcW w:w="850" w:type="dxa"/>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杆长情况（m</w:t>
            </w:r>
            <w:r>
              <w:rPr>
                <w:rFonts w:ascii="宋体" w:eastAsia="宋体" w:cs="宋体"/>
                <w:kern w:val="0"/>
                <w:sz w:val="21"/>
                <w:szCs w:val="21"/>
              </w:rPr>
              <w:t>）</w:t>
            </w:r>
          </w:p>
        </w:tc>
        <w:tc>
          <w:tcPr>
            <w:tcW w:w="895" w:type="dxa"/>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使用数量</w:t>
            </w:r>
          </w:p>
        </w:tc>
        <w:tc>
          <w:tcPr>
            <w:tcW w:w="2835" w:type="dxa"/>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水平档距Lh，垂直档距Lv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restart"/>
            <w:vAlign w:val="center"/>
          </w:tcPr>
          <w:p>
            <w:pPr>
              <w:spacing w:line="360" w:lineRule="auto"/>
              <w:jc w:val="left"/>
              <w:rPr>
                <w:rFonts w:ascii="宋体" w:eastAsia="宋体" w:cs="宋体"/>
                <w:kern w:val="0"/>
                <w:sz w:val="21"/>
                <w:szCs w:val="21"/>
              </w:rPr>
            </w:pPr>
            <w:r>
              <w:rPr>
                <w:rFonts w:hint="eastAsia" w:ascii="宋体" w:eastAsia="宋体" w:cs="宋体"/>
                <w:kern w:val="0"/>
                <w:sz w:val="21"/>
                <w:szCs w:val="21"/>
                <w:lang w:eastAsia="zh-CN"/>
              </w:rPr>
              <w:t>双回电缆终端</w:t>
            </w:r>
            <w:r>
              <w:rPr>
                <w:rFonts w:hint="eastAsia" w:ascii="宋体" w:eastAsia="宋体" w:cs="宋体"/>
                <w:kern w:val="0"/>
                <w:sz w:val="21"/>
                <w:szCs w:val="21"/>
              </w:rPr>
              <w:t>水泥单杆</w:t>
            </w:r>
          </w:p>
        </w:tc>
        <w:tc>
          <w:tcPr>
            <w:tcW w:w="655" w:type="dxa"/>
            <w:vMerge w:val="restart"/>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2DA</w:t>
            </w:r>
          </w:p>
        </w:tc>
        <w:tc>
          <w:tcPr>
            <w:tcW w:w="948" w:type="dxa"/>
            <w:vMerge w:val="restart"/>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2DA</w:t>
            </w:r>
            <w:r>
              <w:rPr>
                <w:rFonts w:ascii="宋体" w:eastAsia="宋体" w:cs="宋体"/>
                <w:kern w:val="0"/>
                <w:sz w:val="21"/>
                <w:szCs w:val="21"/>
              </w:rPr>
              <w:t>-</w:t>
            </w:r>
            <w:r>
              <w:rPr>
                <w:rFonts w:hint="eastAsia" w:ascii="宋体" w:eastAsia="宋体" w:cs="宋体"/>
                <w:kern w:val="0"/>
                <w:sz w:val="21"/>
                <w:szCs w:val="21"/>
                <w:lang w:val="en-US" w:eastAsia="zh-CN"/>
              </w:rPr>
              <w:t>H</w:t>
            </w:r>
          </w:p>
        </w:tc>
        <w:tc>
          <w:tcPr>
            <w:tcW w:w="850" w:type="dxa"/>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15</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2</w:t>
            </w:r>
          </w:p>
        </w:tc>
        <w:tc>
          <w:tcPr>
            <w:tcW w:w="2835" w:type="dxa"/>
            <w:vMerge w:val="restart"/>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Lh≤80，Lv≤100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continue"/>
            <w:vAlign w:val="center"/>
          </w:tcPr>
          <w:p>
            <w:pPr>
              <w:spacing w:line="360" w:lineRule="auto"/>
              <w:jc w:val="left"/>
              <w:rPr>
                <w:rFonts w:ascii="宋体" w:eastAsia="宋体" w:cs="宋体"/>
                <w:kern w:val="0"/>
                <w:sz w:val="21"/>
                <w:szCs w:val="21"/>
              </w:rPr>
            </w:pPr>
          </w:p>
        </w:tc>
        <w:tc>
          <w:tcPr>
            <w:tcW w:w="655" w:type="dxa"/>
            <w:vMerge w:val="continue"/>
            <w:vAlign w:val="center"/>
          </w:tcPr>
          <w:p>
            <w:pPr>
              <w:spacing w:line="360" w:lineRule="auto"/>
              <w:jc w:val="center"/>
              <w:rPr>
                <w:rFonts w:ascii="宋体" w:eastAsia="宋体" w:cs="宋体"/>
                <w:kern w:val="0"/>
                <w:sz w:val="21"/>
                <w:szCs w:val="21"/>
              </w:rPr>
            </w:pPr>
          </w:p>
        </w:tc>
        <w:tc>
          <w:tcPr>
            <w:tcW w:w="948" w:type="dxa"/>
            <w:vMerge w:val="continue"/>
            <w:vAlign w:val="center"/>
          </w:tcPr>
          <w:p>
            <w:pPr>
              <w:spacing w:line="360" w:lineRule="auto"/>
              <w:jc w:val="center"/>
              <w:rPr>
                <w:rFonts w:ascii="宋体" w:eastAsia="宋体" w:cs="宋体"/>
                <w:kern w:val="0"/>
                <w:sz w:val="21"/>
                <w:szCs w:val="21"/>
              </w:rPr>
            </w:pPr>
          </w:p>
        </w:tc>
        <w:tc>
          <w:tcPr>
            <w:tcW w:w="850" w:type="dxa"/>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18</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2</w:t>
            </w:r>
          </w:p>
        </w:tc>
        <w:tc>
          <w:tcPr>
            <w:tcW w:w="2835" w:type="dxa"/>
            <w:vMerge w:val="continue"/>
            <w:vAlign w:val="center"/>
          </w:tcPr>
          <w:p>
            <w:pPr>
              <w:spacing w:line="360" w:lineRule="auto"/>
              <w:jc w:val="center"/>
              <w:rPr>
                <w:rFonts w:asci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restart"/>
            <w:vAlign w:val="center"/>
          </w:tcPr>
          <w:p>
            <w:pPr>
              <w:spacing w:line="360" w:lineRule="auto"/>
              <w:jc w:val="left"/>
              <w:rPr>
                <w:rFonts w:ascii="宋体" w:eastAsia="宋体" w:cs="宋体"/>
                <w:kern w:val="0"/>
                <w:sz w:val="21"/>
                <w:szCs w:val="21"/>
              </w:rPr>
            </w:pPr>
            <w:r>
              <w:rPr>
                <w:rFonts w:hint="eastAsia" w:ascii="宋体" w:eastAsia="宋体" w:cs="宋体"/>
                <w:kern w:val="0"/>
                <w:sz w:val="21"/>
                <w:szCs w:val="21"/>
                <w:lang w:eastAsia="zh-CN"/>
              </w:rPr>
              <w:t>双回直线单杆</w:t>
            </w:r>
          </w:p>
        </w:tc>
        <w:tc>
          <w:tcPr>
            <w:tcW w:w="655" w:type="dxa"/>
            <w:vMerge w:val="restart"/>
            <w:vAlign w:val="center"/>
          </w:tcPr>
          <w:p>
            <w:pPr>
              <w:spacing w:line="360" w:lineRule="auto"/>
              <w:jc w:val="center"/>
              <w:rPr>
                <w:rFonts w:hint="default" w:ascii="宋体" w:eastAsia="宋体" w:cs="宋体"/>
                <w:kern w:val="0"/>
                <w:sz w:val="21"/>
                <w:szCs w:val="21"/>
                <w:lang w:val="en-US"/>
              </w:rPr>
            </w:pPr>
            <w:r>
              <w:rPr>
                <w:rFonts w:hint="eastAsia" w:ascii="宋体" w:eastAsia="宋体" w:cs="宋体"/>
                <w:kern w:val="0"/>
                <w:sz w:val="21"/>
                <w:szCs w:val="21"/>
                <w:lang w:val="en-US" w:eastAsia="zh-CN"/>
              </w:rPr>
              <w:t>2Z1</w:t>
            </w:r>
          </w:p>
        </w:tc>
        <w:tc>
          <w:tcPr>
            <w:tcW w:w="948" w:type="dxa"/>
            <w:vMerge w:val="restart"/>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lang w:val="en-US" w:eastAsia="zh-CN"/>
              </w:rPr>
              <w:t>2Z1</w:t>
            </w:r>
            <w:r>
              <w:rPr>
                <w:rFonts w:ascii="宋体" w:eastAsia="宋体" w:cs="宋体"/>
                <w:kern w:val="0"/>
                <w:sz w:val="21"/>
                <w:szCs w:val="21"/>
              </w:rPr>
              <w:t>-</w:t>
            </w:r>
            <w:r>
              <w:rPr>
                <w:rFonts w:hint="eastAsia" w:ascii="宋体" w:eastAsia="宋体" w:cs="宋体"/>
                <w:kern w:val="0"/>
                <w:sz w:val="21"/>
                <w:szCs w:val="21"/>
                <w:lang w:val="en-US" w:eastAsia="zh-CN"/>
              </w:rPr>
              <w:t>M</w:t>
            </w:r>
          </w:p>
        </w:tc>
        <w:tc>
          <w:tcPr>
            <w:tcW w:w="850" w:type="dxa"/>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15</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2</w:t>
            </w:r>
          </w:p>
        </w:tc>
        <w:tc>
          <w:tcPr>
            <w:tcW w:w="2835" w:type="dxa"/>
            <w:vMerge w:val="restart"/>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Lh≤80，Lv≤100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continue"/>
            <w:vAlign w:val="center"/>
          </w:tcPr>
          <w:p>
            <w:pPr>
              <w:spacing w:line="360" w:lineRule="auto"/>
              <w:jc w:val="left"/>
              <w:rPr>
                <w:rFonts w:ascii="宋体" w:eastAsia="宋体" w:cs="宋体"/>
                <w:kern w:val="0"/>
                <w:sz w:val="21"/>
                <w:szCs w:val="21"/>
              </w:rPr>
            </w:pPr>
          </w:p>
        </w:tc>
        <w:tc>
          <w:tcPr>
            <w:tcW w:w="655" w:type="dxa"/>
            <w:vMerge w:val="continue"/>
            <w:vAlign w:val="center"/>
          </w:tcPr>
          <w:p>
            <w:pPr>
              <w:spacing w:line="360" w:lineRule="auto"/>
              <w:jc w:val="center"/>
              <w:rPr>
                <w:rFonts w:ascii="宋体" w:eastAsia="宋体" w:cs="宋体"/>
                <w:kern w:val="0"/>
                <w:sz w:val="21"/>
                <w:szCs w:val="21"/>
              </w:rPr>
            </w:pPr>
          </w:p>
        </w:tc>
        <w:tc>
          <w:tcPr>
            <w:tcW w:w="948" w:type="dxa"/>
            <w:vMerge w:val="continue"/>
            <w:vAlign w:val="center"/>
          </w:tcPr>
          <w:p>
            <w:pPr>
              <w:spacing w:line="360" w:lineRule="auto"/>
              <w:jc w:val="center"/>
              <w:rPr>
                <w:rFonts w:ascii="宋体" w:eastAsia="宋体" w:cs="宋体"/>
                <w:kern w:val="0"/>
                <w:sz w:val="21"/>
                <w:szCs w:val="21"/>
              </w:rPr>
            </w:pPr>
          </w:p>
        </w:tc>
        <w:tc>
          <w:tcPr>
            <w:tcW w:w="850" w:type="dxa"/>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18</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2</w:t>
            </w:r>
          </w:p>
        </w:tc>
        <w:tc>
          <w:tcPr>
            <w:tcW w:w="2835" w:type="dxa"/>
            <w:vMerge w:val="continue"/>
            <w:vAlign w:val="center"/>
          </w:tcPr>
          <w:p>
            <w:pPr>
              <w:spacing w:line="360" w:lineRule="auto"/>
              <w:jc w:val="center"/>
              <w:rPr>
                <w:rFonts w:asci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restart"/>
            <w:vAlign w:val="center"/>
          </w:tcPr>
          <w:p>
            <w:pPr>
              <w:spacing w:line="360" w:lineRule="auto"/>
              <w:jc w:val="left"/>
              <w:rPr>
                <w:rFonts w:ascii="宋体" w:eastAsia="宋体" w:cs="宋体"/>
                <w:kern w:val="0"/>
                <w:sz w:val="21"/>
                <w:szCs w:val="21"/>
              </w:rPr>
            </w:pPr>
            <w:bookmarkStart w:id="13" w:name="_Toc490754478"/>
            <w:r>
              <w:rPr>
                <w:rFonts w:hint="eastAsia" w:ascii="宋体" w:eastAsia="宋体" w:cs="宋体"/>
                <w:kern w:val="0"/>
                <w:sz w:val="21"/>
                <w:szCs w:val="21"/>
                <w:lang w:eastAsia="zh-CN"/>
              </w:rPr>
              <w:t>双回耐张转角单杆</w:t>
            </w:r>
          </w:p>
        </w:tc>
        <w:tc>
          <w:tcPr>
            <w:tcW w:w="655" w:type="dxa"/>
            <w:vMerge w:val="restart"/>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2NJ2</w:t>
            </w:r>
          </w:p>
        </w:tc>
        <w:tc>
          <w:tcPr>
            <w:tcW w:w="948" w:type="dxa"/>
            <w:vMerge w:val="restart"/>
            <w:vAlign w:val="center"/>
          </w:tcPr>
          <w:p>
            <w:pPr>
              <w:spacing w:line="360" w:lineRule="auto"/>
              <w:jc w:val="center"/>
              <w:rPr>
                <w:rFonts w:hint="default" w:ascii="宋体" w:eastAsia="宋体" w:cs="宋体"/>
                <w:kern w:val="0"/>
                <w:sz w:val="21"/>
                <w:szCs w:val="21"/>
                <w:lang w:val="en-US"/>
              </w:rPr>
            </w:pPr>
            <w:r>
              <w:rPr>
                <w:rFonts w:hint="eastAsia" w:ascii="宋体" w:eastAsia="宋体" w:cs="宋体"/>
                <w:kern w:val="0"/>
                <w:sz w:val="21"/>
                <w:szCs w:val="21"/>
                <w:lang w:val="en-US" w:eastAsia="zh-CN"/>
              </w:rPr>
              <w:t>2NJ2-H</w:t>
            </w:r>
          </w:p>
        </w:tc>
        <w:tc>
          <w:tcPr>
            <w:tcW w:w="850" w:type="dxa"/>
            <w:vAlign w:val="center"/>
          </w:tcPr>
          <w:p>
            <w:pPr>
              <w:spacing w:line="360" w:lineRule="auto"/>
              <w:jc w:val="center"/>
              <w:rPr>
                <w:rFonts w:hint="eastAsia" w:ascii="宋体" w:eastAsia="宋体" w:cs="宋体" w:hAnsiTheme="minorHAnsi"/>
                <w:kern w:val="0"/>
                <w:sz w:val="21"/>
                <w:szCs w:val="21"/>
                <w:lang w:val="en-US" w:eastAsia="zh-CN" w:bidi="ar-SA"/>
              </w:rPr>
            </w:pPr>
            <w:r>
              <w:rPr>
                <w:rFonts w:hint="eastAsia" w:ascii="宋体" w:eastAsia="宋体" w:cs="宋体"/>
                <w:kern w:val="0"/>
                <w:sz w:val="21"/>
                <w:szCs w:val="21"/>
                <w:lang w:val="en-US" w:eastAsia="zh-CN"/>
              </w:rPr>
              <w:t>15</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3</w:t>
            </w:r>
          </w:p>
        </w:tc>
        <w:tc>
          <w:tcPr>
            <w:tcW w:w="2835" w:type="dxa"/>
            <w:vMerge w:val="restart"/>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Lh≤80，Lv≤100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continue"/>
            <w:vAlign w:val="center"/>
          </w:tcPr>
          <w:p>
            <w:pPr>
              <w:spacing w:line="360" w:lineRule="auto"/>
              <w:jc w:val="left"/>
              <w:rPr>
                <w:rFonts w:ascii="宋体" w:eastAsia="宋体" w:cs="宋体"/>
                <w:kern w:val="0"/>
                <w:sz w:val="21"/>
                <w:szCs w:val="21"/>
              </w:rPr>
            </w:pPr>
          </w:p>
        </w:tc>
        <w:tc>
          <w:tcPr>
            <w:tcW w:w="655" w:type="dxa"/>
            <w:vMerge w:val="continue"/>
            <w:vAlign w:val="center"/>
          </w:tcPr>
          <w:p>
            <w:pPr>
              <w:spacing w:line="360" w:lineRule="auto"/>
              <w:jc w:val="center"/>
              <w:rPr>
                <w:rFonts w:ascii="宋体" w:eastAsia="宋体" w:cs="宋体"/>
                <w:kern w:val="0"/>
                <w:sz w:val="21"/>
                <w:szCs w:val="21"/>
              </w:rPr>
            </w:pPr>
          </w:p>
        </w:tc>
        <w:tc>
          <w:tcPr>
            <w:tcW w:w="948" w:type="dxa"/>
            <w:vMerge w:val="continue"/>
            <w:vAlign w:val="center"/>
          </w:tcPr>
          <w:p>
            <w:pPr>
              <w:spacing w:line="360" w:lineRule="auto"/>
              <w:jc w:val="center"/>
              <w:rPr>
                <w:rFonts w:ascii="宋体" w:eastAsia="宋体" w:cs="宋体"/>
                <w:kern w:val="0"/>
                <w:sz w:val="21"/>
                <w:szCs w:val="21"/>
              </w:rPr>
            </w:pPr>
          </w:p>
        </w:tc>
        <w:tc>
          <w:tcPr>
            <w:tcW w:w="850" w:type="dxa"/>
            <w:vAlign w:val="center"/>
          </w:tcPr>
          <w:p>
            <w:pPr>
              <w:spacing w:line="360" w:lineRule="auto"/>
              <w:jc w:val="center"/>
              <w:rPr>
                <w:rFonts w:hint="eastAsia" w:ascii="宋体" w:eastAsia="宋体" w:cs="宋体" w:hAnsiTheme="minorHAnsi"/>
                <w:kern w:val="0"/>
                <w:sz w:val="21"/>
                <w:szCs w:val="21"/>
                <w:lang w:val="en-US" w:eastAsia="zh-CN" w:bidi="ar-SA"/>
              </w:rPr>
            </w:pPr>
            <w:r>
              <w:rPr>
                <w:rFonts w:hint="eastAsia" w:ascii="宋体" w:eastAsia="宋体" w:cs="宋体"/>
                <w:kern w:val="0"/>
                <w:sz w:val="21"/>
                <w:szCs w:val="21"/>
                <w:lang w:val="en-US" w:eastAsia="zh-CN"/>
              </w:rPr>
              <w:t>18</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2</w:t>
            </w:r>
          </w:p>
        </w:tc>
        <w:tc>
          <w:tcPr>
            <w:tcW w:w="2835" w:type="dxa"/>
            <w:vMerge w:val="continue"/>
            <w:vAlign w:val="center"/>
          </w:tcPr>
          <w:p>
            <w:pPr>
              <w:spacing w:line="360" w:lineRule="auto"/>
              <w:jc w:val="center"/>
              <w:rPr>
                <w:rFonts w:asci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restart"/>
            <w:vAlign w:val="center"/>
          </w:tcPr>
          <w:p>
            <w:pPr>
              <w:spacing w:line="360" w:lineRule="auto"/>
              <w:jc w:val="left"/>
              <w:rPr>
                <w:rFonts w:ascii="宋体" w:eastAsia="宋体" w:cs="宋体"/>
                <w:kern w:val="0"/>
                <w:sz w:val="21"/>
                <w:szCs w:val="21"/>
              </w:rPr>
            </w:pPr>
            <w:r>
              <w:rPr>
                <w:rFonts w:hint="eastAsia" w:ascii="宋体" w:eastAsia="宋体" w:cs="宋体"/>
                <w:kern w:val="0"/>
                <w:sz w:val="21"/>
                <w:szCs w:val="21"/>
                <w:lang w:eastAsia="zh-CN"/>
              </w:rPr>
              <w:t>双回直线耐张单杆</w:t>
            </w:r>
          </w:p>
        </w:tc>
        <w:tc>
          <w:tcPr>
            <w:tcW w:w="655" w:type="dxa"/>
            <w:vMerge w:val="restart"/>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2ZNA</w:t>
            </w:r>
          </w:p>
        </w:tc>
        <w:tc>
          <w:tcPr>
            <w:tcW w:w="948" w:type="dxa"/>
            <w:vMerge w:val="restart"/>
            <w:vAlign w:val="center"/>
          </w:tcPr>
          <w:p>
            <w:pPr>
              <w:spacing w:line="360" w:lineRule="auto"/>
              <w:jc w:val="center"/>
              <w:rPr>
                <w:rFonts w:hint="default" w:ascii="宋体" w:eastAsia="宋体" w:cs="宋体"/>
                <w:kern w:val="0"/>
                <w:sz w:val="21"/>
                <w:szCs w:val="21"/>
                <w:lang w:val="en-US"/>
              </w:rPr>
            </w:pPr>
            <w:r>
              <w:rPr>
                <w:rFonts w:hint="eastAsia" w:ascii="宋体" w:eastAsia="宋体" w:cs="宋体"/>
                <w:kern w:val="0"/>
                <w:sz w:val="21"/>
                <w:szCs w:val="21"/>
                <w:lang w:val="en-US" w:eastAsia="zh-CN"/>
              </w:rPr>
              <w:t>2ZNA-H</w:t>
            </w:r>
          </w:p>
        </w:tc>
        <w:tc>
          <w:tcPr>
            <w:tcW w:w="850" w:type="dxa"/>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15</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1</w:t>
            </w:r>
          </w:p>
        </w:tc>
        <w:tc>
          <w:tcPr>
            <w:tcW w:w="2835" w:type="dxa"/>
            <w:vMerge w:val="restart"/>
            <w:vAlign w:val="center"/>
          </w:tcPr>
          <w:p>
            <w:pPr>
              <w:spacing w:line="360" w:lineRule="auto"/>
              <w:jc w:val="center"/>
              <w:rPr>
                <w:rFonts w:ascii="宋体" w:eastAsia="宋体" w:cs="宋体"/>
                <w:kern w:val="0"/>
                <w:sz w:val="21"/>
                <w:szCs w:val="21"/>
              </w:rPr>
            </w:pPr>
            <w:r>
              <w:rPr>
                <w:rFonts w:hint="eastAsia" w:ascii="宋体" w:eastAsia="宋体" w:cs="宋体"/>
                <w:kern w:val="0"/>
                <w:sz w:val="21"/>
                <w:szCs w:val="21"/>
              </w:rPr>
              <w:t>Lh≤80，Lv≤100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01" w:type="dxa"/>
            <w:vMerge w:val="continue"/>
            <w:vAlign w:val="center"/>
          </w:tcPr>
          <w:p>
            <w:pPr>
              <w:spacing w:line="360" w:lineRule="auto"/>
              <w:jc w:val="left"/>
              <w:rPr>
                <w:rFonts w:ascii="宋体" w:eastAsia="宋体" w:cs="宋体"/>
                <w:kern w:val="0"/>
                <w:sz w:val="21"/>
                <w:szCs w:val="21"/>
              </w:rPr>
            </w:pPr>
          </w:p>
        </w:tc>
        <w:tc>
          <w:tcPr>
            <w:tcW w:w="655" w:type="dxa"/>
            <w:vMerge w:val="continue"/>
            <w:vAlign w:val="center"/>
          </w:tcPr>
          <w:p>
            <w:pPr>
              <w:spacing w:line="360" w:lineRule="auto"/>
              <w:jc w:val="center"/>
              <w:rPr>
                <w:rFonts w:ascii="宋体" w:eastAsia="宋体" w:cs="宋体"/>
                <w:kern w:val="0"/>
                <w:sz w:val="21"/>
                <w:szCs w:val="21"/>
              </w:rPr>
            </w:pPr>
          </w:p>
        </w:tc>
        <w:tc>
          <w:tcPr>
            <w:tcW w:w="948" w:type="dxa"/>
            <w:vMerge w:val="continue"/>
            <w:vAlign w:val="center"/>
          </w:tcPr>
          <w:p>
            <w:pPr>
              <w:spacing w:line="360" w:lineRule="auto"/>
              <w:jc w:val="center"/>
              <w:rPr>
                <w:rFonts w:ascii="宋体" w:eastAsia="宋体" w:cs="宋体"/>
                <w:kern w:val="0"/>
                <w:sz w:val="21"/>
                <w:szCs w:val="21"/>
              </w:rPr>
            </w:pPr>
          </w:p>
        </w:tc>
        <w:tc>
          <w:tcPr>
            <w:tcW w:w="850" w:type="dxa"/>
            <w:vAlign w:val="center"/>
          </w:tcPr>
          <w:p>
            <w:pPr>
              <w:spacing w:line="360" w:lineRule="auto"/>
              <w:jc w:val="center"/>
              <w:rPr>
                <w:rFonts w:hint="default" w:ascii="宋体" w:eastAsia="宋体" w:cs="宋体"/>
                <w:kern w:val="0"/>
                <w:sz w:val="21"/>
                <w:szCs w:val="21"/>
                <w:lang w:val="en-US" w:eastAsia="zh-CN"/>
              </w:rPr>
            </w:pPr>
            <w:r>
              <w:rPr>
                <w:rFonts w:hint="eastAsia" w:ascii="宋体" w:eastAsia="宋体" w:cs="宋体"/>
                <w:kern w:val="0"/>
                <w:sz w:val="21"/>
                <w:szCs w:val="21"/>
                <w:lang w:val="en-US" w:eastAsia="zh-CN"/>
              </w:rPr>
              <w:t>18</w:t>
            </w:r>
          </w:p>
        </w:tc>
        <w:tc>
          <w:tcPr>
            <w:tcW w:w="895" w:type="dxa"/>
            <w:vAlign w:val="center"/>
          </w:tcPr>
          <w:p>
            <w:pPr>
              <w:spacing w:line="360" w:lineRule="auto"/>
              <w:jc w:val="center"/>
              <w:rPr>
                <w:rFonts w:hint="eastAsia" w:ascii="宋体" w:eastAsia="宋体" w:cs="宋体"/>
                <w:kern w:val="0"/>
                <w:sz w:val="21"/>
                <w:szCs w:val="21"/>
                <w:lang w:val="en-US" w:eastAsia="zh-CN"/>
              </w:rPr>
            </w:pPr>
            <w:r>
              <w:rPr>
                <w:rFonts w:hint="eastAsia" w:ascii="宋体" w:eastAsia="宋体" w:cs="宋体"/>
                <w:kern w:val="0"/>
                <w:sz w:val="21"/>
                <w:szCs w:val="21"/>
                <w:lang w:val="en-US" w:eastAsia="zh-CN"/>
              </w:rPr>
              <w:t>1</w:t>
            </w:r>
          </w:p>
        </w:tc>
        <w:tc>
          <w:tcPr>
            <w:tcW w:w="2835" w:type="dxa"/>
            <w:vMerge w:val="continue"/>
            <w:vAlign w:val="center"/>
          </w:tcPr>
          <w:p>
            <w:pPr>
              <w:spacing w:line="360" w:lineRule="auto"/>
              <w:jc w:val="center"/>
              <w:rPr>
                <w:rFonts w:ascii="宋体" w:eastAsia="宋体" w:cs="宋体"/>
                <w:kern w:val="0"/>
                <w:sz w:val="21"/>
                <w:szCs w:val="21"/>
              </w:rPr>
            </w:pPr>
          </w:p>
        </w:tc>
      </w:tr>
    </w:tbl>
    <w:p>
      <w:pPr>
        <w:spacing w:before="240" w:line="360" w:lineRule="auto"/>
        <w:outlineLvl w:val="0"/>
        <w:rPr>
          <w:rFonts w:ascii="宋体" w:eastAsia="宋体" w:cs="宋体"/>
          <w:b/>
          <w:kern w:val="0"/>
          <w:sz w:val="24"/>
          <w:szCs w:val="24"/>
        </w:rPr>
      </w:pPr>
      <w:r>
        <w:rPr>
          <w:rFonts w:hint="eastAsia" w:ascii="宋体" w:eastAsia="宋体" w:cs="宋体"/>
          <w:b/>
          <w:kern w:val="0"/>
          <w:sz w:val="24"/>
          <w:szCs w:val="24"/>
        </w:rPr>
        <w:t>七</w:t>
      </w:r>
      <w:r>
        <w:rPr>
          <w:rFonts w:ascii="宋体" w:eastAsia="宋体" w:cs="宋体"/>
          <w:b/>
          <w:kern w:val="0"/>
          <w:sz w:val="24"/>
          <w:szCs w:val="24"/>
        </w:rPr>
        <w:t>、</w:t>
      </w:r>
      <w:r>
        <w:rPr>
          <w:rFonts w:hint="eastAsia" w:ascii="宋体" w:eastAsia="宋体" w:cs="宋体"/>
          <w:b/>
          <w:kern w:val="0"/>
          <w:sz w:val="24"/>
          <w:szCs w:val="24"/>
        </w:rPr>
        <w:t>基础</w:t>
      </w:r>
      <w:bookmarkEnd w:id="13"/>
    </w:p>
    <w:p>
      <w:pPr>
        <w:spacing w:line="360" w:lineRule="auto"/>
        <w:outlineLvl w:val="1"/>
        <w:rPr>
          <w:rFonts w:ascii="宋体" w:eastAsia="宋体" w:cs="宋体"/>
          <w:b/>
          <w:kern w:val="0"/>
          <w:sz w:val="24"/>
          <w:szCs w:val="24"/>
        </w:rPr>
      </w:pPr>
      <w:bookmarkStart w:id="14" w:name="_Toc490754479"/>
      <w:r>
        <w:rPr>
          <w:rFonts w:hint="eastAsia" w:ascii="宋体" w:eastAsia="宋体" w:cs="宋体"/>
          <w:b/>
          <w:kern w:val="0"/>
          <w:sz w:val="24"/>
          <w:szCs w:val="24"/>
        </w:rPr>
        <w:t>7</w:t>
      </w:r>
      <w:r>
        <w:rPr>
          <w:rFonts w:ascii="宋体" w:eastAsia="宋体" w:cs="宋体"/>
          <w:b/>
          <w:kern w:val="0"/>
          <w:sz w:val="24"/>
          <w:szCs w:val="24"/>
        </w:rPr>
        <w:t>.</w:t>
      </w:r>
      <w:r>
        <w:rPr>
          <w:rFonts w:hint="eastAsia" w:ascii="宋体" w:eastAsia="宋体" w:cs="宋体"/>
          <w:b/>
          <w:kern w:val="0"/>
          <w:sz w:val="24"/>
          <w:szCs w:val="24"/>
        </w:rPr>
        <w:t>1直线水泥单杆基础型式</w:t>
      </w:r>
      <w:bookmarkEnd w:id="14"/>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梢径为</w:t>
      </w:r>
      <w:r>
        <w:rPr>
          <w:rFonts w:hint="eastAsia" w:ascii="宋体" w:eastAsia="宋体" w:cs="宋体"/>
          <w:kern w:val="0"/>
          <w:sz w:val="24"/>
          <w:szCs w:val="24"/>
          <w:lang w:val="en-US" w:eastAsia="zh-CN"/>
        </w:rPr>
        <w:t>230</w:t>
      </w:r>
      <w:r>
        <w:rPr>
          <w:rFonts w:hint="eastAsia" w:ascii="宋体" w:eastAsia="宋体" w:cs="宋体"/>
          <w:kern w:val="0"/>
          <w:sz w:val="24"/>
          <w:szCs w:val="24"/>
        </w:rPr>
        <w:t>mm、</w:t>
      </w:r>
      <w:r>
        <w:rPr>
          <w:rFonts w:ascii="宋体" w:eastAsia="宋体" w:cs="宋体"/>
          <w:kern w:val="0"/>
          <w:sz w:val="24"/>
          <w:szCs w:val="24"/>
        </w:rPr>
        <w:t>2</w:t>
      </w:r>
      <w:r>
        <w:rPr>
          <w:rFonts w:hint="eastAsia" w:ascii="宋体" w:eastAsia="宋体" w:cs="宋体"/>
          <w:kern w:val="0"/>
          <w:sz w:val="24"/>
          <w:szCs w:val="24"/>
          <w:lang w:val="en-US" w:eastAsia="zh-CN"/>
        </w:rPr>
        <w:t>7</w:t>
      </w:r>
      <w:r>
        <w:rPr>
          <w:rFonts w:hint="eastAsia" w:ascii="宋体" w:eastAsia="宋体" w:cs="宋体"/>
          <w:kern w:val="0"/>
          <w:sz w:val="24"/>
          <w:szCs w:val="24"/>
        </w:rPr>
        <w:t>0mm的水泥杆基础采用原状土掏挖直埋式的基础型式，即按水泥杆相应的埋设深度在杆位处将原状土掏挖成型后直接埋设的施工方式。当水泥杆的倾覆力矩大于基础原状土抗倾覆力矩时应加装卡盘基础，若装卡盘还不能满足要求，可适当加大埋深基础型式处理。根部下压力大于地基允许承载力时应加装底盘基础。</w:t>
      </w:r>
      <w:r>
        <w:rPr>
          <w:rFonts w:ascii="宋体" w:eastAsia="宋体" w:cs="宋体"/>
          <w:kern w:val="0"/>
          <w:sz w:val="24"/>
          <w:szCs w:val="24"/>
        </w:rPr>
        <w:t>本工程</w:t>
      </w:r>
      <w:r>
        <w:rPr>
          <w:rFonts w:hint="eastAsia" w:ascii="宋体" w:eastAsia="宋体" w:cs="宋体"/>
          <w:kern w:val="0"/>
          <w:sz w:val="24"/>
          <w:szCs w:val="24"/>
        </w:rPr>
        <w:t>设计采用原状土掏挖直埋式基础。</w:t>
      </w:r>
    </w:p>
    <w:p>
      <w:pPr>
        <w:spacing w:line="360" w:lineRule="auto"/>
        <w:jc w:val="center"/>
        <w:rPr>
          <w:rFonts w:ascii="宋体" w:eastAsia="宋体" w:cs="宋体"/>
          <w:kern w:val="0"/>
          <w:sz w:val="24"/>
          <w:szCs w:val="24"/>
        </w:rPr>
      </w:pPr>
      <w:r>
        <w:drawing>
          <wp:inline distT="0" distB="0" distL="0" distR="0">
            <wp:extent cx="2132965" cy="2857500"/>
            <wp:effectExtent l="0" t="0" r="63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srcRect b="12571"/>
                    <a:stretch>
                      <a:fillRect/>
                    </a:stretch>
                  </pic:blipFill>
                  <pic:spPr>
                    <a:xfrm>
                      <a:off x="0" y="0"/>
                      <a:ext cx="2155847" cy="2887426"/>
                    </a:xfrm>
                    <a:prstGeom prst="rect">
                      <a:avLst/>
                    </a:prstGeom>
                    <a:ln>
                      <a:noFill/>
                    </a:ln>
                  </pic:spPr>
                </pic:pic>
              </a:graphicData>
            </a:graphic>
          </wp:inline>
        </w:drawing>
      </w:r>
      <w:r>
        <w:t xml:space="preserve">   </w:t>
      </w:r>
    </w:p>
    <w:p>
      <w:pPr>
        <w:spacing w:line="360" w:lineRule="auto"/>
        <w:ind w:firstLine="3304" w:firstLineChars="1377"/>
        <w:rPr>
          <w:rFonts w:ascii="宋体" w:eastAsia="宋体" w:cs="宋体"/>
          <w:kern w:val="0"/>
          <w:sz w:val="24"/>
          <w:szCs w:val="24"/>
        </w:rPr>
      </w:pPr>
      <w:r>
        <w:rPr>
          <w:rFonts w:ascii="宋体" w:eastAsia="宋体" w:cs="宋体"/>
          <w:kern w:val="0"/>
          <w:sz w:val="24"/>
          <w:szCs w:val="24"/>
        </w:rPr>
        <w:t>a</w:t>
      </w:r>
      <w:r>
        <w:rPr>
          <w:rFonts w:hint="eastAsia" w:ascii="宋体" w:eastAsia="宋体" w:cs="宋体"/>
          <w:kern w:val="0"/>
          <w:sz w:val="24"/>
          <w:szCs w:val="24"/>
        </w:rPr>
        <w:t>、直埋式</w:t>
      </w:r>
      <w:r>
        <w:rPr>
          <w:rFonts w:ascii="宋体" w:eastAsia="宋体" w:cs="宋体"/>
          <w:kern w:val="0"/>
          <w:sz w:val="24"/>
          <w:szCs w:val="24"/>
        </w:rPr>
        <w:t>基础</w:t>
      </w:r>
      <w:r>
        <w:rPr>
          <w:rFonts w:hint="eastAsia" w:ascii="宋体" w:eastAsia="宋体" w:cs="宋体"/>
          <w:kern w:val="0"/>
          <w:sz w:val="24"/>
          <w:szCs w:val="24"/>
        </w:rPr>
        <w:t xml:space="preserve"> </w:t>
      </w:r>
    </w:p>
    <w:p>
      <w:pPr>
        <w:spacing w:line="360" w:lineRule="auto"/>
        <w:ind w:firstLine="424" w:firstLineChars="177"/>
        <w:rPr>
          <w:rFonts w:ascii="宋体" w:eastAsia="宋体" w:cs="宋体"/>
          <w:kern w:val="0"/>
          <w:sz w:val="24"/>
          <w:szCs w:val="24"/>
        </w:rPr>
      </w:pPr>
    </w:p>
    <w:p>
      <w:pPr>
        <w:spacing w:line="360" w:lineRule="auto"/>
        <w:outlineLvl w:val="1"/>
        <w:rPr>
          <w:rFonts w:ascii="宋体" w:eastAsia="宋体" w:cs="宋体"/>
          <w:b/>
          <w:kern w:val="0"/>
          <w:sz w:val="24"/>
          <w:szCs w:val="24"/>
        </w:rPr>
      </w:pPr>
      <w:bookmarkStart w:id="15" w:name="_Toc490754480"/>
      <w:r>
        <w:rPr>
          <w:rFonts w:ascii="宋体" w:eastAsia="宋体" w:cs="宋体"/>
          <w:b/>
          <w:kern w:val="0"/>
          <w:sz w:val="24"/>
          <w:szCs w:val="24"/>
        </w:rPr>
        <w:t xml:space="preserve">7.2  </w:t>
      </w:r>
      <w:r>
        <w:rPr>
          <w:rFonts w:hint="eastAsia" w:ascii="宋体" w:eastAsia="宋体" w:cs="宋体"/>
          <w:b/>
          <w:kern w:val="0"/>
          <w:sz w:val="24"/>
          <w:szCs w:val="24"/>
        </w:rPr>
        <w:t>10kV拉线转角</w:t>
      </w:r>
      <w:r>
        <w:rPr>
          <w:rFonts w:hint="eastAsia" w:ascii="宋体" w:eastAsia="宋体" w:cs="宋体"/>
          <w:b/>
          <w:kern w:val="0"/>
          <w:sz w:val="24"/>
          <w:szCs w:val="24"/>
          <w:lang w:eastAsia="zh-CN"/>
        </w:rPr>
        <w:t>、电缆终端</w:t>
      </w:r>
      <w:r>
        <w:rPr>
          <w:rFonts w:hint="eastAsia" w:ascii="宋体" w:eastAsia="宋体" w:cs="宋体"/>
          <w:b/>
          <w:kern w:val="0"/>
          <w:sz w:val="24"/>
          <w:szCs w:val="24"/>
        </w:rPr>
        <w:t>水泥杆基础型式</w:t>
      </w:r>
      <w:bookmarkEnd w:id="15"/>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拉线杆基础采用底盘和拉线盘的基础。根据水泥杆各杆型单线图及技术参数表中的基础作用力，结合当地地质条件、地形条件及各地区使用习惯选用合理的底盘、拉线盘，并确定拉线盘的埋深及拉线棒的长度。根据</w:t>
      </w:r>
      <w:r>
        <w:rPr>
          <w:rFonts w:ascii="宋体" w:eastAsia="宋体" w:cs="宋体"/>
          <w:kern w:val="0"/>
          <w:sz w:val="24"/>
          <w:szCs w:val="24"/>
        </w:rPr>
        <w:t>现场地质，</w:t>
      </w:r>
      <w:r>
        <w:rPr>
          <w:rFonts w:hint="eastAsia" w:ascii="宋体" w:eastAsia="宋体" w:cs="宋体"/>
          <w:kern w:val="0"/>
          <w:sz w:val="24"/>
          <w:szCs w:val="24"/>
        </w:rPr>
        <w:t>本工程不</w:t>
      </w:r>
      <w:r>
        <w:rPr>
          <w:rFonts w:ascii="宋体" w:eastAsia="宋体" w:cs="宋体"/>
          <w:kern w:val="0"/>
          <w:sz w:val="24"/>
          <w:szCs w:val="24"/>
        </w:rPr>
        <w:t>采用</w:t>
      </w:r>
      <w:r>
        <w:rPr>
          <w:rFonts w:hint="eastAsia" w:ascii="宋体" w:eastAsia="宋体" w:cs="宋体"/>
          <w:kern w:val="0"/>
          <w:sz w:val="24"/>
          <w:szCs w:val="24"/>
        </w:rPr>
        <w:t>特别加固措施。</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（2）根据不同地质，选择原土或混凝土进行基础回填，回填土每300mm夯实一次，地面上应留有高300mm 的防沉土台。水泥杆及拉线盘埋深不应小于设计值。本工程</w:t>
      </w:r>
      <w:r>
        <w:rPr>
          <w:rFonts w:ascii="宋体" w:eastAsia="宋体" w:cs="宋体"/>
          <w:kern w:val="0"/>
          <w:sz w:val="24"/>
          <w:szCs w:val="24"/>
        </w:rPr>
        <w:t>选用</w:t>
      </w:r>
      <w:r>
        <w:rPr>
          <w:rFonts w:hint="eastAsia" w:ascii="宋体" w:eastAsia="宋体" w:cs="宋体"/>
          <w:kern w:val="0"/>
          <w:sz w:val="24"/>
          <w:szCs w:val="24"/>
        </w:rPr>
        <w:t>原土进行基础回填。</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（3）拉线杆拉线盘装设，应注意拉线棒埋设45°槽道的正确方向，拉线棒受力后不应弯曲。</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（4）基础坑开挖时注意保持坑壁边坡，坑内渗水、积水应及时排除，并采取措施，防止基坑塌陷。</w:t>
      </w:r>
    </w:p>
    <w:p>
      <w:pPr>
        <w:spacing w:line="360" w:lineRule="auto"/>
        <w:jc w:val="center"/>
        <w:rPr>
          <w:rFonts w:ascii="宋体" w:eastAsia="宋体" w:cs="宋体"/>
          <w:kern w:val="0"/>
          <w:sz w:val="24"/>
          <w:szCs w:val="24"/>
        </w:rPr>
      </w:pPr>
      <w:r>
        <w:drawing>
          <wp:inline distT="0" distB="0" distL="0" distR="0">
            <wp:extent cx="1875790" cy="19907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srcRect t="-20590" b="39386"/>
                    <a:stretch>
                      <a:fillRect/>
                    </a:stretch>
                  </pic:blipFill>
                  <pic:spPr>
                    <a:xfrm>
                      <a:off x="0" y="0"/>
                      <a:ext cx="1981543" cy="2102958"/>
                    </a:xfrm>
                    <a:prstGeom prst="rect">
                      <a:avLst/>
                    </a:prstGeom>
                    <a:ln>
                      <a:noFill/>
                    </a:ln>
                  </pic:spPr>
                </pic:pic>
              </a:graphicData>
            </a:graphic>
          </wp:inline>
        </w:drawing>
      </w:r>
    </w:p>
    <w:p>
      <w:pPr>
        <w:spacing w:line="360" w:lineRule="auto"/>
        <w:ind w:firstLine="600" w:firstLineChars="250"/>
        <w:jc w:val="center"/>
        <w:rPr>
          <w:rFonts w:ascii="宋体" w:eastAsia="宋体" w:cs="宋体"/>
          <w:kern w:val="0"/>
          <w:sz w:val="24"/>
          <w:szCs w:val="24"/>
        </w:rPr>
      </w:pPr>
      <w:r>
        <w:rPr>
          <w:rFonts w:hint="eastAsia" w:ascii="宋体" w:eastAsia="宋体" w:cs="宋体"/>
          <w:kern w:val="0"/>
          <w:sz w:val="24"/>
          <w:szCs w:val="24"/>
        </w:rPr>
        <w:t>b、底盘基础</w:t>
      </w:r>
    </w:p>
    <w:p>
      <w:pPr>
        <w:spacing w:line="360" w:lineRule="auto"/>
        <w:jc w:val="center"/>
        <w:rPr>
          <w:rFonts w:ascii="宋体" w:eastAsia="宋体" w:cs="宋体"/>
          <w:kern w:val="0"/>
          <w:sz w:val="24"/>
          <w:szCs w:val="24"/>
        </w:rPr>
      </w:pPr>
      <w:r>
        <w:drawing>
          <wp:inline distT="0" distB="0" distL="0" distR="0">
            <wp:extent cx="2162175" cy="2127885"/>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cstate="print"/>
                    <a:stretch>
                      <a:fillRect/>
                    </a:stretch>
                  </pic:blipFill>
                  <pic:spPr>
                    <a:xfrm>
                      <a:off x="0" y="0"/>
                      <a:ext cx="2172015" cy="2137944"/>
                    </a:xfrm>
                    <a:prstGeom prst="rect">
                      <a:avLst/>
                    </a:prstGeom>
                  </pic:spPr>
                </pic:pic>
              </a:graphicData>
            </a:graphic>
          </wp:inline>
        </w:drawing>
      </w:r>
    </w:p>
    <w:p>
      <w:pPr>
        <w:spacing w:line="360" w:lineRule="auto"/>
        <w:ind w:firstLine="600" w:firstLineChars="250"/>
        <w:jc w:val="center"/>
        <w:rPr>
          <w:rFonts w:ascii="宋体" w:eastAsia="宋体" w:cs="宋体"/>
          <w:kern w:val="0"/>
          <w:sz w:val="24"/>
          <w:szCs w:val="24"/>
        </w:rPr>
      </w:pPr>
      <w:r>
        <w:rPr>
          <w:rFonts w:hint="eastAsia" w:ascii="宋体" w:eastAsia="宋体" w:cs="宋体"/>
          <w:kern w:val="0"/>
          <w:sz w:val="24"/>
          <w:szCs w:val="24"/>
        </w:rPr>
        <w:t>b、拉盘基础</w:t>
      </w:r>
    </w:p>
    <w:p>
      <w:pPr>
        <w:spacing w:before="240" w:line="360" w:lineRule="auto"/>
        <w:outlineLvl w:val="0"/>
        <w:rPr>
          <w:rFonts w:ascii="宋体" w:eastAsia="宋体" w:cs="宋体"/>
          <w:b/>
          <w:kern w:val="0"/>
          <w:sz w:val="24"/>
          <w:szCs w:val="24"/>
        </w:rPr>
      </w:pPr>
      <w:bookmarkStart w:id="16" w:name="_Toc490754481"/>
      <w:r>
        <w:rPr>
          <w:rFonts w:hint="eastAsia" w:ascii="宋体" w:eastAsia="宋体" w:cs="宋体"/>
          <w:b/>
          <w:kern w:val="0"/>
          <w:sz w:val="24"/>
          <w:szCs w:val="24"/>
        </w:rPr>
        <w:t>八</w:t>
      </w:r>
      <w:r>
        <w:rPr>
          <w:rFonts w:ascii="宋体" w:eastAsia="宋体" w:cs="宋体"/>
          <w:b/>
          <w:kern w:val="0"/>
          <w:sz w:val="24"/>
          <w:szCs w:val="24"/>
        </w:rPr>
        <w:t>、绝缘配合</w:t>
      </w:r>
      <w:bookmarkEnd w:id="16"/>
    </w:p>
    <w:p>
      <w:pPr>
        <w:spacing w:line="360" w:lineRule="auto"/>
        <w:rPr>
          <w:rFonts w:hint="eastAsia" w:ascii="宋体" w:eastAsia="宋体" w:cs="宋体"/>
          <w:kern w:val="0"/>
          <w:sz w:val="24"/>
          <w:szCs w:val="24"/>
          <w:lang w:val="en-US" w:eastAsia="zh-CN"/>
        </w:rPr>
      </w:pPr>
      <w:r>
        <w:rPr>
          <w:rFonts w:hint="eastAsia" w:ascii="宋体" w:eastAsia="宋体" w:cs="宋体"/>
          <w:kern w:val="0"/>
          <w:sz w:val="24"/>
          <w:szCs w:val="24"/>
        </w:rPr>
        <w:t>本工程设计按海拔高度不大于</w:t>
      </w:r>
      <w:r>
        <w:rPr>
          <w:rFonts w:ascii="宋体" w:eastAsia="宋体" w:cs="宋体"/>
          <w:kern w:val="0"/>
          <w:sz w:val="24"/>
          <w:szCs w:val="24"/>
        </w:rPr>
        <w:t>1</w:t>
      </w:r>
      <w:r>
        <w:rPr>
          <w:rFonts w:hint="eastAsia" w:ascii="宋体" w:eastAsia="宋体" w:cs="宋体"/>
          <w:kern w:val="0"/>
          <w:sz w:val="24"/>
          <w:szCs w:val="24"/>
        </w:rPr>
        <w:t>000m 考虑</w:t>
      </w:r>
      <w:r>
        <w:rPr>
          <w:rFonts w:hint="eastAsia" w:ascii="宋体" w:eastAsia="宋体" w:cs="宋体"/>
          <w:kern w:val="0"/>
          <w:sz w:val="24"/>
          <w:szCs w:val="24"/>
          <w:lang w:eastAsia="zh-CN"/>
        </w:rPr>
        <w:t>。</w:t>
      </w:r>
    </w:p>
    <w:p>
      <w:pPr>
        <w:spacing w:line="360" w:lineRule="auto"/>
        <w:outlineLvl w:val="1"/>
        <w:rPr>
          <w:rFonts w:ascii="宋体" w:eastAsia="宋体" w:cs="宋体"/>
          <w:b/>
          <w:kern w:val="0"/>
          <w:sz w:val="24"/>
          <w:szCs w:val="24"/>
        </w:rPr>
      </w:pPr>
      <w:bookmarkStart w:id="17" w:name="_Toc490754482"/>
      <w:r>
        <w:rPr>
          <w:rFonts w:ascii="宋体" w:eastAsia="宋体" w:cs="宋体"/>
          <w:b/>
          <w:kern w:val="0"/>
          <w:sz w:val="24"/>
          <w:szCs w:val="24"/>
        </w:rPr>
        <w:t>8</w:t>
      </w:r>
      <w:r>
        <w:rPr>
          <w:rFonts w:hint="eastAsia" w:ascii="宋体" w:eastAsia="宋体" w:cs="宋体"/>
          <w:b/>
          <w:kern w:val="0"/>
          <w:sz w:val="24"/>
          <w:szCs w:val="24"/>
        </w:rPr>
        <w:t>.1</w:t>
      </w:r>
      <w:r>
        <w:rPr>
          <w:rFonts w:ascii="宋体" w:eastAsia="宋体" w:cs="宋体"/>
          <w:b/>
          <w:kern w:val="0"/>
          <w:sz w:val="24"/>
          <w:szCs w:val="24"/>
        </w:rPr>
        <w:t xml:space="preserve"> </w:t>
      </w:r>
      <w:r>
        <w:rPr>
          <w:rFonts w:hint="eastAsia" w:ascii="宋体" w:eastAsia="宋体" w:cs="宋体"/>
          <w:b/>
          <w:kern w:val="0"/>
          <w:sz w:val="24"/>
          <w:szCs w:val="24"/>
        </w:rPr>
        <w:t xml:space="preserve"> 10kV 绝缘子选用</w:t>
      </w:r>
      <w:bookmarkEnd w:id="17"/>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1）本工程为</w:t>
      </w:r>
      <w:r>
        <w:rPr>
          <w:rFonts w:ascii="宋体" w:eastAsia="宋体" w:cs="宋体"/>
          <w:kern w:val="0"/>
          <w:sz w:val="24"/>
          <w:szCs w:val="24"/>
        </w:rPr>
        <w:t>于海拔</w:t>
      </w:r>
      <w:r>
        <w:rPr>
          <w:rFonts w:hint="eastAsia" w:ascii="宋体" w:eastAsia="宋体" w:cs="宋体"/>
          <w:kern w:val="0"/>
          <w:sz w:val="24"/>
          <w:szCs w:val="24"/>
        </w:rPr>
        <w:t>1000米</w:t>
      </w:r>
      <w:r>
        <w:rPr>
          <w:rFonts w:ascii="宋体" w:eastAsia="宋体" w:cs="宋体"/>
          <w:kern w:val="0"/>
          <w:sz w:val="24"/>
          <w:szCs w:val="24"/>
        </w:rPr>
        <w:t>以下</w:t>
      </w:r>
      <w:r>
        <w:rPr>
          <w:rFonts w:hint="eastAsia" w:ascii="宋体" w:eastAsia="宋体" w:cs="宋体"/>
          <w:kern w:val="0"/>
          <w:sz w:val="24"/>
          <w:szCs w:val="24"/>
        </w:rPr>
        <w:t>，参</w:t>
      </w:r>
      <w:r>
        <w:rPr>
          <w:rFonts w:ascii="宋体" w:eastAsia="宋体" w:cs="宋体"/>
          <w:kern w:val="0"/>
          <w:sz w:val="24"/>
          <w:szCs w:val="24"/>
        </w:rPr>
        <w:t>照污区分布图</w:t>
      </w:r>
      <w:r>
        <w:rPr>
          <w:rFonts w:hint="eastAsia" w:ascii="宋体" w:eastAsia="宋体" w:cs="宋体"/>
          <w:kern w:val="0"/>
          <w:sz w:val="24"/>
          <w:szCs w:val="24"/>
        </w:rPr>
        <w:t>，</w:t>
      </w:r>
      <w:r>
        <w:rPr>
          <w:rFonts w:ascii="宋体" w:eastAsia="宋体" w:cs="宋体"/>
          <w:kern w:val="0"/>
          <w:sz w:val="24"/>
          <w:szCs w:val="24"/>
        </w:rPr>
        <w:t>确定本工程</w:t>
      </w:r>
      <w:r>
        <w:rPr>
          <w:rFonts w:hint="eastAsia" w:ascii="宋体" w:eastAsia="宋体" w:cs="宋体"/>
          <w:kern w:val="0"/>
          <w:sz w:val="24"/>
          <w:szCs w:val="24"/>
        </w:rPr>
        <w:t>污秽等级为d级</w:t>
      </w:r>
      <w:r>
        <w:rPr>
          <w:rFonts w:ascii="宋体" w:eastAsia="宋体" w:cs="宋体"/>
          <w:kern w:val="0"/>
          <w:sz w:val="24"/>
          <w:szCs w:val="24"/>
        </w:rPr>
        <w:t>污区</w:t>
      </w:r>
      <w:r>
        <w:rPr>
          <w:rFonts w:hint="eastAsia" w:ascii="宋体" w:eastAsia="宋体" w:cs="宋体"/>
          <w:kern w:val="0"/>
          <w:sz w:val="24"/>
          <w:szCs w:val="24"/>
        </w:rPr>
        <w:t>。</w:t>
      </w:r>
    </w:p>
    <w:p>
      <w:pPr>
        <w:spacing w:line="360" w:lineRule="auto"/>
        <w:ind w:firstLine="566" w:firstLineChars="236"/>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）10kV 直线单杆采用线路柱式瓷绝缘子，</w:t>
      </w:r>
      <w:r>
        <w:rPr>
          <w:rFonts w:ascii="宋体" w:eastAsia="宋体" w:cs="宋体"/>
          <w:kern w:val="0"/>
          <w:sz w:val="24"/>
          <w:szCs w:val="24"/>
        </w:rPr>
        <w:t>型号为：R12.5ET150N</w:t>
      </w:r>
      <w:r>
        <w:rPr>
          <w:rFonts w:hint="eastAsia" w:ascii="宋体" w:eastAsia="宋体" w:cs="宋体"/>
          <w:kern w:val="0"/>
          <w:sz w:val="24"/>
          <w:szCs w:val="24"/>
        </w:rPr>
        <w:t>。</w:t>
      </w:r>
    </w:p>
    <w:p>
      <w:pPr>
        <w:spacing w:line="360" w:lineRule="auto"/>
        <w:jc w:val="center"/>
        <w:rPr>
          <w:rFonts w:ascii="宋体" w:eastAsia="宋体" w:cs="宋体"/>
          <w:kern w:val="0"/>
          <w:sz w:val="24"/>
          <w:szCs w:val="24"/>
        </w:rPr>
      </w:pPr>
      <w:r>
        <w:drawing>
          <wp:inline distT="0" distB="0" distL="0" distR="0">
            <wp:extent cx="3571240" cy="102806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cstate="print"/>
                    <a:stretch>
                      <a:fillRect/>
                    </a:stretch>
                  </pic:blipFill>
                  <pic:spPr>
                    <a:xfrm>
                      <a:off x="0" y="0"/>
                      <a:ext cx="3571429" cy="1028571"/>
                    </a:xfrm>
                    <a:prstGeom prst="rect">
                      <a:avLst/>
                    </a:prstGeom>
                  </pic:spPr>
                </pic:pic>
              </a:graphicData>
            </a:graphic>
          </wp:inline>
        </w:drawing>
      </w:r>
    </w:p>
    <w:p>
      <w:pPr>
        <w:spacing w:line="360" w:lineRule="auto"/>
        <w:ind w:firstLine="566" w:firstLineChars="236"/>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）10kV 耐张杆采用交流悬式棒形瓷（复合）绝缘子、耐张线夹和匹配的连接金具组成的10kV 导线耐张串。</w:t>
      </w:r>
    </w:p>
    <w:p>
      <w:pPr>
        <w:spacing w:line="360" w:lineRule="auto"/>
        <w:jc w:val="center"/>
        <w:rPr>
          <w:rFonts w:ascii="宋体" w:eastAsia="宋体" w:cs="宋体"/>
          <w:kern w:val="0"/>
          <w:sz w:val="24"/>
          <w:szCs w:val="24"/>
        </w:rPr>
      </w:pPr>
      <w:r>
        <w:drawing>
          <wp:inline distT="0" distB="0" distL="0" distR="0">
            <wp:extent cx="2524125" cy="16656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cstate="print"/>
                    <a:stretch>
                      <a:fillRect/>
                    </a:stretch>
                  </pic:blipFill>
                  <pic:spPr>
                    <a:xfrm>
                      <a:off x="0" y="0"/>
                      <a:ext cx="2555407" cy="1686271"/>
                    </a:xfrm>
                    <a:prstGeom prst="rect">
                      <a:avLst/>
                    </a:prstGeom>
                  </pic:spPr>
                </pic:pic>
              </a:graphicData>
            </a:graphic>
          </wp:inline>
        </w:drawing>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详见图</w:t>
      </w:r>
      <w:r>
        <w:rPr>
          <w:rFonts w:ascii="宋体" w:eastAsia="宋体" w:cs="宋体"/>
          <w:kern w:val="0"/>
          <w:sz w:val="24"/>
          <w:szCs w:val="24"/>
        </w:rPr>
        <w:t>：</w:t>
      </w:r>
      <w:r>
        <w:rPr>
          <w:rFonts w:hint="eastAsia" w:ascii="宋体" w:eastAsia="宋体" w:cs="宋体"/>
          <w:kern w:val="0"/>
          <w:sz w:val="24"/>
          <w:szCs w:val="24"/>
          <w:lang w:eastAsia="zh-CN"/>
        </w:rPr>
        <w:t>金具</w:t>
      </w:r>
      <w:r>
        <w:rPr>
          <w:rFonts w:ascii="宋体" w:eastAsia="宋体" w:cs="宋体"/>
          <w:kern w:val="0"/>
          <w:sz w:val="24"/>
          <w:szCs w:val="24"/>
        </w:rPr>
        <w:t>组装图</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10kV架空线路导线与杆塔构件、拉线之间的最小距离按表</w:t>
      </w:r>
      <w:r>
        <w:rPr>
          <w:rFonts w:ascii="宋体" w:eastAsia="宋体" w:cs="宋体"/>
          <w:kern w:val="0"/>
          <w:sz w:val="24"/>
          <w:szCs w:val="24"/>
        </w:rPr>
        <w:t>8.1-1</w:t>
      </w:r>
      <w:r>
        <w:rPr>
          <w:rFonts w:hint="eastAsia" w:ascii="宋体" w:eastAsia="宋体" w:cs="宋体"/>
          <w:kern w:val="0"/>
          <w:sz w:val="24"/>
          <w:szCs w:val="24"/>
        </w:rPr>
        <w:t>选取，10kV过引线、引下线与邻相导线之间的最小间隙按表</w:t>
      </w:r>
      <w:r>
        <w:rPr>
          <w:rFonts w:ascii="宋体" w:eastAsia="宋体" w:cs="宋体"/>
          <w:kern w:val="0"/>
          <w:sz w:val="24"/>
          <w:szCs w:val="24"/>
        </w:rPr>
        <w:t>8.1-2</w:t>
      </w:r>
      <w:r>
        <w:rPr>
          <w:rFonts w:hint="eastAsia" w:ascii="宋体" w:eastAsia="宋体" w:cs="宋体"/>
          <w:kern w:val="0"/>
          <w:sz w:val="24"/>
          <w:szCs w:val="24"/>
        </w:rPr>
        <w:t>选取。</w:t>
      </w:r>
    </w:p>
    <w:p>
      <w:pPr>
        <w:spacing w:line="360" w:lineRule="auto"/>
        <w:rPr>
          <w:rFonts w:ascii="宋体" w:eastAsia="宋体" w:cs="宋体"/>
          <w:b/>
          <w:kern w:val="0"/>
          <w:sz w:val="24"/>
          <w:szCs w:val="24"/>
        </w:rPr>
      </w:pPr>
      <w:r>
        <w:rPr>
          <w:rFonts w:hint="eastAsia" w:ascii="宋体" w:eastAsia="宋体" w:cs="宋体"/>
          <w:b/>
          <w:kern w:val="0"/>
          <w:sz w:val="24"/>
          <w:szCs w:val="24"/>
        </w:rPr>
        <w:t>表8.1-1</w:t>
      </w:r>
      <w:r>
        <w:rPr>
          <w:rFonts w:ascii="宋体" w:eastAsia="宋体" w:cs="宋体"/>
          <w:b/>
          <w:kern w:val="0"/>
          <w:sz w:val="24"/>
          <w:szCs w:val="24"/>
        </w:rPr>
        <w:t xml:space="preserve">      </w:t>
      </w:r>
      <w:r>
        <w:rPr>
          <w:rFonts w:hint="eastAsia" w:ascii="宋体" w:eastAsia="宋体" w:cs="宋体"/>
          <w:b/>
          <w:kern w:val="0"/>
          <w:sz w:val="24"/>
          <w:szCs w:val="24"/>
        </w:rPr>
        <w:t xml:space="preserve">10kV架空线路导线与杆塔构件、拉线之间的最小距离 </w:t>
      </w:r>
      <w:r>
        <w:rPr>
          <w:rFonts w:ascii="宋体" w:eastAsia="宋体" w:cs="宋体"/>
          <w:b/>
          <w:kern w:val="0"/>
          <w:sz w:val="24"/>
          <w:szCs w:val="24"/>
        </w:rPr>
        <w:t xml:space="preserve">   </w:t>
      </w:r>
      <w:r>
        <w:rPr>
          <w:rFonts w:hint="eastAsia" w:ascii="宋体" w:eastAsia="宋体" w:cs="宋体"/>
          <w:b/>
          <w:kern w:val="0"/>
          <w:sz w:val="24"/>
          <w:szCs w:val="24"/>
        </w:rPr>
        <w:t xml:space="preserve">   m</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138"/>
        <w:gridCol w:w="4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海拔高度</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最小间隙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1000 及以下</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1000～ 2000</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0.226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 xml:space="preserve">000～ </w:t>
            </w:r>
            <w:r>
              <w:rPr>
                <w:rFonts w:ascii="宋体" w:eastAsia="宋体" w:cs="宋体"/>
                <w:kern w:val="0"/>
                <w:sz w:val="24"/>
                <w:szCs w:val="24"/>
              </w:rPr>
              <w:t>3</w:t>
            </w:r>
            <w:r>
              <w:rPr>
                <w:rFonts w:hint="eastAsia" w:ascii="宋体" w:eastAsia="宋体" w:cs="宋体"/>
                <w:kern w:val="0"/>
                <w:sz w:val="24"/>
                <w:szCs w:val="24"/>
              </w:rPr>
              <w:t>000</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0.256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 xml:space="preserve">000～ </w:t>
            </w:r>
            <w:r>
              <w:rPr>
                <w:rFonts w:ascii="宋体" w:eastAsia="宋体" w:cs="宋体"/>
                <w:kern w:val="0"/>
                <w:sz w:val="24"/>
                <w:szCs w:val="24"/>
              </w:rPr>
              <w:t>4</w:t>
            </w:r>
            <w:r>
              <w:rPr>
                <w:rFonts w:hint="eastAsia" w:ascii="宋体" w:eastAsia="宋体" w:cs="宋体"/>
                <w:kern w:val="0"/>
                <w:sz w:val="24"/>
                <w:szCs w:val="24"/>
              </w:rPr>
              <w:t>000</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0.288</w:t>
            </w:r>
          </w:p>
        </w:tc>
      </w:tr>
    </w:tbl>
    <w:p>
      <w:pPr>
        <w:spacing w:line="360" w:lineRule="auto"/>
        <w:rPr>
          <w:rFonts w:ascii="宋体" w:eastAsia="宋体" w:cs="宋体"/>
          <w:b/>
          <w:kern w:val="0"/>
          <w:sz w:val="24"/>
          <w:szCs w:val="24"/>
        </w:rPr>
      </w:pPr>
      <w:r>
        <w:rPr>
          <w:rFonts w:hint="eastAsia" w:ascii="宋体" w:eastAsia="宋体" w:cs="宋体"/>
          <w:b/>
          <w:kern w:val="0"/>
          <w:sz w:val="24"/>
          <w:szCs w:val="24"/>
        </w:rPr>
        <w:t>表8.1-</w:t>
      </w:r>
      <w:r>
        <w:rPr>
          <w:rFonts w:ascii="宋体" w:eastAsia="宋体" w:cs="宋体"/>
          <w:b/>
          <w:kern w:val="0"/>
          <w:sz w:val="24"/>
          <w:szCs w:val="24"/>
        </w:rPr>
        <w:t xml:space="preserve">2      </w:t>
      </w:r>
      <w:r>
        <w:rPr>
          <w:rFonts w:hint="eastAsia" w:ascii="宋体" w:eastAsia="宋体" w:cs="宋体"/>
          <w:b/>
          <w:kern w:val="0"/>
          <w:sz w:val="24"/>
          <w:szCs w:val="24"/>
        </w:rPr>
        <w:t xml:space="preserve">10kV过引线、引下线与邻相导线之间的最小间隙 </w:t>
      </w:r>
      <w:r>
        <w:rPr>
          <w:rFonts w:ascii="宋体" w:eastAsia="宋体" w:cs="宋体"/>
          <w:b/>
          <w:kern w:val="0"/>
          <w:sz w:val="24"/>
          <w:szCs w:val="24"/>
        </w:rPr>
        <w:t xml:space="preserve">   </w:t>
      </w:r>
      <w:r>
        <w:rPr>
          <w:rFonts w:hint="eastAsia" w:ascii="宋体" w:eastAsia="宋体" w:cs="宋体"/>
          <w:b/>
          <w:kern w:val="0"/>
          <w:sz w:val="24"/>
          <w:szCs w:val="24"/>
        </w:rPr>
        <w:t xml:space="preserve">  </w:t>
      </w:r>
      <w:r>
        <w:rPr>
          <w:rFonts w:ascii="宋体" w:eastAsia="宋体" w:cs="宋体"/>
          <w:b/>
          <w:kern w:val="0"/>
          <w:sz w:val="24"/>
          <w:szCs w:val="24"/>
        </w:rPr>
        <w:t xml:space="preserve">    </w:t>
      </w:r>
      <w:r>
        <w:rPr>
          <w:rFonts w:hint="eastAsia" w:ascii="宋体" w:eastAsia="宋体" w:cs="宋体"/>
          <w:b/>
          <w:kern w:val="0"/>
          <w:sz w:val="24"/>
          <w:szCs w:val="24"/>
        </w:rPr>
        <w:t>m</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138"/>
        <w:gridCol w:w="4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海拔高度</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最小间隙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1000 及以下</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w:t>
            </w:r>
            <w:r>
              <w:rPr>
                <w:rFonts w:ascii="宋体" w:eastAsia="宋体" w:cs="宋体"/>
                <w:kern w:val="0"/>
                <w:sz w:val="24"/>
                <w:szCs w:val="24"/>
              </w:rPr>
              <w:t>3</w:t>
            </w:r>
            <w:r>
              <w:rPr>
                <w:rFonts w:hint="eastAsia" w:ascii="宋体" w:eastAsia="宋体" w:cs="宋体"/>
                <w:kern w:val="0"/>
                <w:sz w:val="24"/>
                <w:szCs w:val="24"/>
              </w:rPr>
              <w:t>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1000～ 2000</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w:t>
            </w:r>
            <w:r>
              <w:rPr>
                <w:rFonts w:ascii="宋体" w:eastAsia="宋体" w:cs="宋体"/>
                <w:kern w:val="0"/>
                <w:sz w:val="24"/>
                <w:szCs w:val="24"/>
              </w:rPr>
              <w:t>339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 xml:space="preserve">000～ </w:t>
            </w:r>
            <w:r>
              <w:rPr>
                <w:rFonts w:ascii="宋体" w:eastAsia="宋体" w:cs="宋体"/>
                <w:kern w:val="0"/>
                <w:sz w:val="24"/>
                <w:szCs w:val="24"/>
              </w:rPr>
              <w:t>3</w:t>
            </w:r>
            <w:r>
              <w:rPr>
                <w:rFonts w:hint="eastAsia" w:ascii="宋体" w:eastAsia="宋体" w:cs="宋体"/>
                <w:kern w:val="0"/>
                <w:sz w:val="24"/>
                <w:szCs w:val="24"/>
              </w:rPr>
              <w:t>000</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w:t>
            </w:r>
            <w:r>
              <w:rPr>
                <w:rFonts w:ascii="宋体" w:eastAsia="宋体" w:cs="宋体"/>
                <w:kern w:val="0"/>
                <w:sz w:val="24"/>
                <w:szCs w:val="24"/>
              </w:rPr>
              <w:t>384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4138" w:type="dxa"/>
          </w:tcPr>
          <w:p>
            <w:pPr>
              <w:spacing w:line="360" w:lineRule="auto"/>
              <w:jc w:val="center"/>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 xml:space="preserve">000～ </w:t>
            </w:r>
            <w:r>
              <w:rPr>
                <w:rFonts w:ascii="宋体" w:eastAsia="宋体" w:cs="宋体"/>
                <w:kern w:val="0"/>
                <w:sz w:val="24"/>
                <w:szCs w:val="24"/>
              </w:rPr>
              <w:t>4</w:t>
            </w:r>
            <w:r>
              <w:rPr>
                <w:rFonts w:hint="eastAsia" w:ascii="宋体" w:eastAsia="宋体" w:cs="宋体"/>
                <w:kern w:val="0"/>
                <w:sz w:val="24"/>
                <w:szCs w:val="24"/>
              </w:rPr>
              <w:t>000</w:t>
            </w:r>
          </w:p>
        </w:tc>
        <w:tc>
          <w:tcPr>
            <w:tcW w:w="4138" w:type="dxa"/>
          </w:tcPr>
          <w:p>
            <w:pPr>
              <w:spacing w:line="360" w:lineRule="auto"/>
              <w:jc w:val="center"/>
              <w:rPr>
                <w:rFonts w:ascii="宋体" w:eastAsia="宋体" w:cs="宋体"/>
                <w:kern w:val="0"/>
                <w:sz w:val="24"/>
                <w:szCs w:val="24"/>
              </w:rPr>
            </w:pPr>
            <w:r>
              <w:rPr>
                <w:rFonts w:hint="eastAsia" w:ascii="宋体" w:eastAsia="宋体" w:cs="宋体"/>
                <w:kern w:val="0"/>
                <w:sz w:val="24"/>
                <w:szCs w:val="24"/>
              </w:rPr>
              <w:t>0.</w:t>
            </w:r>
            <w:r>
              <w:rPr>
                <w:rFonts w:ascii="宋体" w:eastAsia="宋体" w:cs="宋体"/>
                <w:kern w:val="0"/>
                <w:sz w:val="24"/>
                <w:szCs w:val="24"/>
              </w:rPr>
              <w:t>432</w:t>
            </w:r>
          </w:p>
        </w:tc>
      </w:tr>
    </w:tbl>
    <w:p>
      <w:pPr>
        <w:spacing w:line="360" w:lineRule="auto"/>
        <w:outlineLvl w:val="1"/>
        <w:rPr>
          <w:rFonts w:ascii="宋体" w:eastAsia="宋体" w:cs="宋体"/>
          <w:b/>
          <w:kern w:val="0"/>
          <w:sz w:val="24"/>
          <w:szCs w:val="24"/>
        </w:rPr>
      </w:pPr>
      <w:bookmarkStart w:id="18" w:name="_Toc490754483"/>
      <w:r>
        <w:rPr>
          <w:rFonts w:ascii="宋体" w:eastAsia="宋体" w:cs="宋体"/>
          <w:b/>
          <w:kern w:val="0"/>
          <w:sz w:val="24"/>
          <w:szCs w:val="24"/>
        </w:rPr>
        <w:t>8</w:t>
      </w:r>
      <w:r>
        <w:rPr>
          <w:rFonts w:hint="eastAsia" w:ascii="宋体" w:eastAsia="宋体" w:cs="宋体"/>
          <w:b/>
          <w:kern w:val="0"/>
          <w:sz w:val="24"/>
          <w:szCs w:val="24"/>
        </w:rPr>
        <w:t>.</w:t>
      </w:r>
      <w:r>
        <w:rPr>
          <w:rFonts w:ascii="宋体" w:eastAsia="宋体" w:cs="宋体"/>
          <w:b/>
          <w:kern w:val="0"/>
          <w:sz w:val="24"/>
          <w:szCs w:val="24"/>
        </w:rPr>
        <w:t xml:space="preserve">2 </w:t>
      </w:r>
      <w:r>
        <w:rPr>
          <w:rFonts w:hint="eastAsia" w:ascii="宋体" w:eastAsia="宋体" w:cs="宋体"/>
          <w:b/>
          <w:kern w:val="0"/>
          <w:sz w:val="24"/>
          <w:szCs w:val="24"/>
        </w:rPr>
        <w:t>防雷与接地</w:t>
      </w:r>
      <w:bookmarkEnd w:id="18"/>
    </w:p>
    <w:p>
      <w:pPr>
        <w:spacing w:line="360" w:lineRule="auto"/>
        <w:ind w:firstLine="566" w:firstLineChars="236"/>
        <w:rPr>
          <w:rFonts w:hint="eastAsia" w:ascii="宋体" w:eastAsia="宋体" w:cs="宋体"/>
          <w:kern w:val="0"/>
          <w:sz w:val="24"/>
          <w:szCs w:val="24"/>
        </w:rPr>
      </w:pPr>
      <w:r>
        <w:rPr>
          <w:rFonts w:ascii="宋体" w:eastAsia="宋体" w:cs="宋体"/>
          <w:kern w:val="0"/>
          <w:sz w:val="24"/>
          <w:szCs w:val="24"/>
        </w:rPr>
        <w:t>8</w:t>
      </w:r>
      <w:r>
        <w:rPr>
          <w:rFonts w:hint="eastAsia" w:ascii="宋体" w:eastAsia="宋体" w:cs="宋体"/>
          <w:kern w:val="0"/>
          <w:sz w:val="24"/>
          <w:szCs w:val="24"/>
        </w:rPr>
        <w:t>.2.1防雷</w:t>
      </w:r>
    </w:p>
    <w:p>
      <w:pPr>
        <w:spacing w:line="360" w:lineRule="auto"/>
        <w:ind w:firstLine="566" w:firstLineChars="236"/>
        <w:rPr>
          <w:rFonts w:hint="eastAsia" w:ascii="宋体" w:eastAsia="宋体" w:cs="宋体"/>
          <w:kern w:val="0"/>
          <w:sz w:val="24"/>
          <w:szCs w:val="24"/>
        </w:rPr>
      </w:pPr>
      <w:r>
        <w:rPr>
          <w:rFonts w:hint="eastAsia" w:ascii="宋体" w:eastAsia="宋体" w:cs="宋体"/>
          <w:kern w:val="0"/>
          <w:sz w:val="24"/>
          <w:szCs w:val="24"/>
        </w:rPr>
        <w:t>10kV</w:t>
      </w:r>
      <w:r>
        <w:rPr>
          <w:rFonts w:hint="eastAsia" w:ascii="宋体" w:eastAsia="宋体" w:cs="宋体"/>
          <w:kern w:val="0"/>
          <w:sz w:val="24"/>
          <w:szCs w:val="24"/>
          <w:lang w:eastAsia="zh-CN"/>
        </w:rPr>
        <w:t>绝缘</w:t>
      </w:r>
      <w:r>
        <w:rPr>
          <w:rFonts w:hint="eastAsia" w:ascii="宋体" w:eastAsia="宋体" w:cs="宋体"/>
          <w:kern w:val="0"/>
          <w:sz w:val="24"/>
          <w:szCs w:val="24"/>
        </w:rPr>
        <w:t>线路防雷采用带间隙的氧化锌避雷器，提高线路绝缘水平增长闪络路径保护方式。</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避雷器的特性参数选择：</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 xml:space="preserve">避雷器的主要特性参数应符合下列规定： </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（1）冲击放电电压应低于被保护的电缆线路的绝缘水平，并留有一定裕度。</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 xml:space="preserve">（2）冲击电流通过避雷器时，两端子间的残压值应小于电缆线路的绝缘水平。 </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 xml:space="preserve">（3）当雷电过电压侵袭电缆时，电缆上承受的电压为冲击放电电压和残压，两者之间数值较大者称为保护水平Up，BIL=（120％～l30％）Up。 </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 xml:space="preserve">（4）10kV避雷器的持续运行电压，对于中性点不接地和经消弧线圈接地的接地系统，应分别不低于最大工作线电压的110％和100％；对于经小电阻接地的接地系统，应不低于最大工作线电压的80％。 </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（5）本工程采用无间隙复合外套金属氧化物避雷器。</w:t>
      </w:r>
    </w:p>
    <w:p>
      <w:pPr>
        <w:spacing w:line="360" w:lineRule="auto"/>
        <w:ind w:firstLine="566" w:firstLineChars="236"/>
        <w:rPr>
          <w:rFonts w:ascii="宋体" w:eastAsia="宋体" w:cs="宋体"/>
          <w:kern w:val="0"/>
          <w:sz w:val="24"/>
          <w:szCs w:val="24"/>
        </w:rPr>
      </w:pPr>
      <w:r>
        <w:rPr>
          <w:rFonts w:ascii="宋体" w:eastAsia="宋体" w:cs="宋体"/>
          <w:kern w:val="0"/>
          <w:sz w:val="24"/>
          <w:szCs w:val="24"/>
        </w:rPr>
        <w:t>8</w:t>
      </w:r>
      <w:r>
        <w:rPr>
          <w:rFonts w:hint="eastAsia" w:ascii="宋体" w:eastAsia="宋体" w:cs="宋体"/>
          <w:kern w:val="0"/>
          <w:sz w:val="24"/>
          <w:szCs w:val="24"/>
        </w:rPr>
        <w:t>.2.</w:t>
      </w:r>
      <w:r>
        <w:rPr>
          <w:rFonts w:hint="eastAsia" w:ascii="宋体" w:eastAsia="宋体" w:cs="宋体"/>
          <w:kern w:val="0"/>
          <w:sz w:val="24"/>
          <w:szCs w:val="24"/>
          <w:lang w:val="en-US" w:eastAsia="zh-CN"/>
        </w:rPr>
        <w:t>2</w:t>
      </w:r>
      <w:r>
        <w:rPr>
          <w:rFonts w:hint="eastAsia" w:ascii="宋体" w:eastAsia="宋体" w:cs="宋体"/>
          <w:kern w:val="0"/>
          <w:sz w:val="24"/>
          <w:szCs w:val="24"/>
        </w:rPr>
        <w:t>本工程在新建电缆终端杆上</w:t>
      </w:r>
      <w:r>
        <w:rPr>
          <w:rFonts w:ascii="宋体" w:eastAsia="宋体" w:cs="宋体"/>
          <w:kern w:val="0"/>
          <w:sz w:val="24"/>
          <w:szCs w:val="24"/>
        </w:rPr>
        <w:t>，</w:t>
      </w:r>
      <w:r>
        <w:rPr>
          <w:rFonts w:hint="eastAsia" w:ascii="宋体" w:eastAsia="宋体" w:cs="宋体"/>
          <w:kern w:val="0"/>
          <w:sz w:val="24"/>
          <w:szCs w:val="24"/>
        </w:rPr>
        <w:t>各</w:t>
      </w:r>
      <w:r>
        <w:rPr>
          <w:rFonts w:ascii="宋体" w:eastAsia="宋体" w:cs="宋体"/>
          <w:kern w:val="0"/>
          <w:sz w:val="24"/>
          <w:szCs w:val="24"/>
        </w:rPr>
        <w:t>回</w:t>
      </w:r>
      <w:r>
        <w:rPr>
          <w:rFonts w:hint="eastAsia" w:ascii="宋体" w:eastAsia="宋体" w:cs="宋体"/>
          <w:kern w:val="0"/>
          <w:sz w:val="24"/>
          <w:szCs w:val="24"/>
        </w:rPr>
        <w:t>路分别安装HY5WS-17/50型氧化锌避雷器一组。对电缆及附件进行防雷保护及过电压保护。（参照四川省电力公司电网技术标准）。</w:t>
      </w:r>
    </w:p>
    <w:p>
      <w:pPr>
        <w:spacing w:line="360" w:lineRule="auto"/>
        <w:jc w:val="center"/>
        <w:rPr>
          <w:rFonts w:ascii="宋体" w:eastAsia="宋体" w:cs="宋体"/>
          <w:kern w:val="0"/>
          <w:sz w:val="24"/>
          <w:szCs w:val="24"/>
        </w:rPr>
      </w:pPr>
      <w:r>
        <w:rPr>
          <w:rFonts w:hint="eastAsia" w:ascii="宋体" w:eastAsia="宋体" w:cs="宋体"/>
          <w:kern w:val="0"/>
          <w:sz w:val="24"/>
          <w:szCs w:val="24"/>
        </w:rPr>
        <w:t>表8.2-1杆塔工频接地电阻值</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82"/>
        <w:gridCol w:w="1378"/>
        <w:gridCol w:w="1379"/>
        <w:gridCol w:w="1379"/>
        <w:gridCol w:w="1379"/>
        <w:gridCol w:w="1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2" w:type="dxa"/>
          </w:tcPr>
          <w:p>
            <w:pPr>
              <w:rPr>
                <w:rFonts w:ascii="宋体" w:eastAsia="宋体" w:cs="宋体"/>
                <w:w w:val="90"/>
                <w:kern w:val="0"/>
                <w:szCs w:val="21"/>
              </w:rPr>
            </w:pPr>
            <w:r>
              <w:rPr>
                <w:rFonts w:hint="eastAsia" w:ascii="宋体" w:eastAsia="宋体" w:cs="宋体"/>
                <w:w w:val="90"/>
                <w:kern w:val="0"/>
                <w:szCs w:val="21"/>
              </w:rPr>
              <w:t>土壤接地电阻率ρ（Ω·m）</w:t>
            </w:r>
          </w:p>
        </w:tc>
        <w:tc>
          <w:tcPr>
            <w:tcW w:w="1378" w:type="dxa"/>
            <w:vAlign w:val="center"/>
          </w:tcPr>
          <w:p>
            <w:pPr>
              <w:jc w:val="center"/>
              <w:rPr>
                <w:rFonts w:ascii="宋体" w:eastAsia="宋体" w:cs="宋体"/>
                <w:w w:val="80"/>
                <w:kern w:val="0"/>
                <w:szCs w:val="21"/>
              </w:rPr>
            </w:pPr>
            <w:r>
              <w:rPr>
                <w:rFonts w:hint="eastAsia" w:ascii="宋体" w:eastAsia="宋体" w:cs="宋体"/>
                <w:w w:val="80"/>
                <w:kern w:val="0"/>
                <w:szCs w:val="21"/>
              </w:rPr>
              <w:t>ρ＜100</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100≤ρ＜500</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500≤ρ＜1000</w:t>
            </w:r>
          </w:p>
        </w:tc>
        <w:tc>
          <w:tcPr>
            <w:tcW w:w="1379" w:type="dxa"/>
            <w:vAlign w:val="center"/>
          </w:tcPr>
          <w:p>
            <w:pPr>
              <w:jc w:val="center"/>
              <w:rPr>
                <w:rFonts w:ascii="宋体" w:eastAsia="宋体" w:cs="宋体"/>
                <w:w w:val="66"/>
                <w:kern w:val="0"/>
                <w:szCs w:val="21"/>
              </w:rPr>
            </w:pPr>
            <w:r>
              <w:rPr>
                <w:rFonts w:hint="eastAsia" w:ascii="宋体" w:eastAsia="宋体" w:cs="宋体"/>
                <w:w w:val="66"/>
                <w:kern w:val="0"/>
                <w:szCs w:val="21"/>
              </w:rPr>
              <w:t>1000≤ρ＜2000</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ρ≥2000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2" w:type="dxa"/>
          </w:tcPr>
          <w:p>
            <w:pPr>
              <w:jc w:val="center"/>
              <w:rPr>
                <w:rFonts w:ascii="宋体" w:eastAsia="宋体" w:cs="宋体"/>
                <w:w w:val="90"/>
                <w:kern w:val="0"/>
                <w:szCs w:val="21"/>
              </w:rPr>
            </w:pPr>
            <w:r>
              <w:rPr>
                <w:rFonts w:hint="eastAsia" w:ascii="宋体" w:eastAsia="宋体" w:cs="宋体"/>
                <w:w w:val="90"/>
                <w:kern w:val="0"/>
                <w:szCs w:val="21"/>
              </w:rPr>
              <w:t>工频接地电阻（Ω）</w:t>
            </w:r>
          </w:p>
        </w:tc>
        <w:tc>
          <w:tcPr>
            <w:tcW w:w="1378" w:type="dxa"/>
            <w:vAlign w:val="center"/>
          </w:tcPr>
          <w:p>
            <w:pPr>
              <w:jc w:val="center"/>
              <w:rPr>
                <w:rFonts w:ascii="宋体" w:eastAsia="宋体" w:cs="宋体"/>
                <w:w w:val="80"/>
                <w:kern w:val="0"/>
                <w:szCs w:val="21"/>
              </w:rPr>
            </w:pPr>
            <w:r>
              <w:rPr>
                <w:rFonts w:hint="eastAsia" w:ascii="宋体" w:eastAsia="宋体" w:cs="宋体"/>
                <w:w w:val="80"/>
                <w:kern w:val="0"/>
                <w:szCs w:val="21"/>
              </w:rPr>
              <w:t>10</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15</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20</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25</w:t>
            </w:r>
          </w:p>
        </w:tc>
        <w:tc>
          <w:tcPr>
            <w:tcW w:w="1379" w:type="dxa"/>
            <w:vAlign w:val="center"/>
          </w:tcPr>
          <w:p>
            <w:pPr>
              <w:jc w:val="center"/>
              <w:rPr>
                <w:rFonts w:ascii="宋体" w:eastAsia="宋体" w:cs="宋体"/>
                <w:w w:val="80"/>
                <w:kern w:val="0"/>
                <w:szCs w:val="21"/>
              </w:rPr>
            </w:pPr>
            <w:r>
              <w:rPr>
                <w:rFonts w:hint="eastAsia" w:ascii="宋体" w:eastAsia="宋体" w:cs="宋体"/>
                <w:w w:val="80"/>
                <w:kern w:val="0"/>
                <w:szCs w:val="21"/>
              </w:rPr>
              <w:t>30</w:t>
            </w:r>
          </w:p>
        </w:tc>
      </w:tr>
    </w:tbl>
    <w:p>
      <w:pPr>
        <w:spacing w:line="360" w:lineRule="auto"/>
        <w:ind w:firstLine="566" w:firstLineChars="236"/>
        <w:rPr>
          <w:rFonts w:ascii="宋体" w:eastAsia="宋体" w:cs="宋体"/>
          <w:kern w:val="0"/>
          <w:sz w:val="24"/>
          <w:szCs w:val="24"/>
        </w:rPr>
      </w:pPr>
      <w:r>
        <w:rPr>
          <w:rFonts w:ascii="宋体" w:eastAsia="宋体" w:cs="宋体"/>
          <w:kern w:val="0"/>
          <w:sz w:val="24"/>
          <w:szCs w:val="24"/>
        </w:rPr>
        <w:t>8</w:t>
      </w:r>
      <w:r>
        <w:rPr>
          <w:rFonts w:hint="eastAsia" w:ascii="宋体" w:eastAsia="宋体" w:cs="宋体"/>
          <w:kern w:val="0"/>
          <w:sz w:val="24"/>
          <w:szCs w:val="24"/>
        </w:rPr>
        <w:t>.2.4保护配电柱上断路器、负荷开关和电容器组等柱上设备的避雷器的接地导体（线），应与设备外壳相连，接地装置的接地电阻不应大于10Ω。</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8.2.4电缆线路系统的接地</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电缆的金属屏蔽和铠装、电缆支架和电缆附件的支架必须可靠接地，接地电阻不大于10Ω。采取降阻措施时，可采用换土填充等物理性降阻剂进行，禁止使用化学类降阻剂。</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8.2.5电缆金属护层的接地方式</w:t>
      </w:r>
    </w:p>
    <w:p>
      <w:pPr>
        <w:spacing w:line="360" w:lineRule="auto"/>
        <w:ind w:firstLine="566" w:firstLineChars="236"/>
        <w:rPr>
          <w:rFonts w:ascii="宋体" w:eastAsia="宋体" w:cs="宋体"/>
          <w:kern w:val="0"/>
          <w:sz w:val="24"/>
          <w:szCs w:val="24"/>
        </w:rPr>
      </w:pPr>
      <w:r>
        <w:rPr>
          <w:rFonts w:hint="eastAsia" w:ascii="宋体" w:eastAsia="宋体" w:cs="宋体"/>
          <w:kern w:val="0"/>
          <w:sz w:val="24"/>
          <w:szCs w:val="24"/>
        </w:rPr>
        <w:t>电力电缆金属屏蔽层必须直接接地。交流系统中三芯电缆的金属屏蔽层，应在电缆线路两终端和接头等部位实施接地。当三芯电缆具有塑料内衬层或隔离套时，金属屏蔽层和铠装层宜分别引出接地线，且两者之间宜采取绝缘措施。</w:t>
      </w:r>
    </w:p>
    <w:p>
      <w:pPr>
        <w:spacing w:line="360" w:lineRule="auto"/>
        <w:outlineLvl w:val="1"/>
        <w:rPr>
          <w:rFonts w:ascii="宋体" w:eastAsia="宋体" w:cs="宋体"/>
          <w:b/>
          <w:kern w:val="0"/>
          <w:sz w:val="24"/>
          <w:szCs w:val="24"/>
        </w:rPr>
      </w:pPr>
      <w:bookmarkStart w:id="19" w:name="_Toc490754484"/>
      <w:r>
        <w:rPr>
          <w:rFonts w:ascii="宋体" w:eastAsia="宋体" w:cs="宋体"/>
          <w:b/>
          <w:kern w:val="0"/>
          <w:sz w:val="24"/>
          <w:szCs w:val="24"/>
        </w:rPr>
        <w:t>8</w:t>
      </w:r>
      <w:r>
        <w:rPr>
          <w:rFonts w:hint="eastAsia" w:ascii="宋体" w:eastAsia="宋体" w:cs="宋体"/>
          <w:b/>
          <w:kern w:val="0"/>
          <w:sz w:val="24"/>
          <w:szCs w:val="24"/>
        </w:rPr>
        <w:t>.3 10kV 金具选用</w:t>
      </w:r>
      <w:bookmarkEnd w:id="19"/>
    </w:p>
    <w:p>
      <w:pPr>
        <w:spacing w:line="360" w:lineRule="auto"/>
        <w:ind w:firstLine="424" w:firstLineChars="177"/>
        <w:rPr>
          <w:rFonts w:ascii="宋体" w:eastAsia="宋体" w:cs="宋体"/>
          <w:kern w:val="0"/>
          <w:sz w:val="24"/>
          <w:szCs w:val="24"/>
        </w:rPr>
      </w:pPr>
      <w:r>
        <w:rPr>
          <w:rFonts w:ascii="宋体" w:eastAsia="宋体" w:cs="宋体"/>
          <w:kern w:val="0"/>
          <w:sz w:val="24"/>
          <w:szCs w:val="24"/>
        </w:rPr>
        <w:t xml:space="preserve">8.3.1 </w:t>
      </w:r>
      <w:r>
        <w:rPr>
          <w:rFonts w:hint="eastAsia" w:ascii="宋体" w:eastAsia="宋体" w:cs="宋体"/>
          <w:kern w:val="0"/>
          <w:sz w:val="24"/>
          <w:szCs w:val="24"/>
        </w:rPr>
        <w:t>10kV金具概述</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本工程10kV金具类型包括耐张线夹、接续金具、连接金具等。</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w:t>
      </w:r>
      <w:r>
        <w:rPr>
          <w:rFonts w:ascii="宋体" w:eastAsia="宋体" w:cs="宋体"/>
          <w:kern w:val="0"/>
          <w:sz w:val="24"/>
          <w:szCs w:val="24"/>
        </w:rPr>
        <w:t>）</w:t>
      </w:r>
      <w:r>
        <w:rPr>
          <w:rFonts w:hint="eastAsia" w:ascii="宋体" w:eastAsia="宋体" w:cs="宋体"/>
          <w:kern w:val="0"/>
          <w:sz w:val="24"/>
          <w:szCs w:val="24"/>
        </w:rPr>
        <w:t>耐张线夹用于架空线路耐张杆上导线终端的固定及杆塔拉线终端的固定。耐张线夹按其结构和安装方式可分为压缩型、螺栓型和楔形等。</w:t>
      </w:r>
      <w:r>
        <w:rPr>
          <w:rFonts w:ascii="宋体" w:eastAsia="宋体" w:cs="宋体"/>
          <w:kern w:val="0"/>
          <w:sz w:val="24"/>
          <w:szCs w:val="24"/>
        </w:rPr>
        <w:t>本工程</w:t>
      </w:r>
      <w:r>
        <w:rPr>
          <w:rFonts w:hint="eastAsia" w:ascii="宋体" w:eastAsia="宋体" w:cs="宋体"/>
          <w:kern w:val="0"/>
          <w:sz w:val="24"/>
          <w:szCs w:val="24"/>
        </w:rPr>
        <w:t>采用NLL-21</w:t>
      </w:r>
      <w:r>
        <w:rPr>
          <w:rFonts w:ascii="宋体" w:eastAsia="宋体" w:cs="宋体"/>
          <w:kern w:val="0"/>
          <w:sz w:val="24"/>
          <w:szCs w:val="24"/>
        </w:rPr>
        <w:t>螺栓型</w:t>
      </w:r>
      <w:r>
        <w:rPr>
          <w:rFonts w:hint="eastAsia" w:ascii="宋体" w:eastAsia="宋体" w:cs="宋体"/>
          <w:kern w:val="0"/>
          <w:sz w:val="24"/>
          <w:szCs w:val="24"/>
        </w:rPr>
        <w:t>铝合金</w:t>
      </w:r>
      <w:r>
        <w:rPr>
          <w:rFonts w:ascii="宋体" w:eastAsia="宋体" w:cs="宋体"/>
          <w:kern w:val="0"/>
          <w:sz w:val="24"/>
          <w:szCs w:val="24"/>
        </w:rPr>
        <w:t>线夹。</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w:t>
      </w:r>
      <w:r>
        <w:rPr>
          <w:rFonts w:ascii="宋体" w:eastAsia="宋体" w:cs="宋体"/>
          <w:kern w:val="0"/>
          <w:sz w:val="24"/>
          <w:szCs w:val="24"/>
        </w:rPr>
        <w:t>2</w:t>
      </w:r>
      <w:r>
        <w:rPr>
          <w:rFonts w:hint="eastAsia" w:ascii="宋体" w:eastAsia="宋体" w:cs="宋体"/>
          <w:kern w:val="0"/>
          <w:sz w:val="24"/>
          <w:szCs w:val="24"/>
        </w:rPr>
        <w:t>）接续金具用于导线与导线、导线与接地线等连接，包括预绞式接续条、接续管、并沟线夹等类型。</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w:t>
      </w:r>
      <w:r>
        <w:rPr>
          <w:rFonts w:ascii="宋体" w:eastAsia="宋体" w:cs="宋体"/>
          <w:kern w:val="0"/>
          <w:sz w:val="24"/>
          <w:szCs w:val="24"/>
        </w:rPr>
        <w:t>3）</w:t>
      </w:r>
      <w:r>
        <w:rPr>
          <w:rFonts w:hint="eastAsia" w:ascii="宋体" w:eastAsia="宋体" w:cs="宋体"/>
          <w:kern w:val="0"/>
          <w:sz w:val="24"/>
          <w:szCs w:val="24"/>
        </w:rPr>
        <w:t>接金具用于绝缘子与杆塔横担铁件、绝缘子与耐张线夹等连接，包括联板、球头挂环、碗头挂板、延长环、直角环及平行挂板等类型。</w:t>
      </w:r>
    </w:p>
    <w:p>
      <w:pPr>
        <w:spacing w:line="360" w:lineRule="auto"/>
        <w:ind w:firstLine="424" w:firstLineChars="177"/>
        <w:rPr>
          <w:rFonts w:ascii="宋体" w:eastAsia="宋体" w:cs="宋体"/>
          <w:kern w:val="0"/>
          <w:sz w:val="24"/>
          <w:szCs w:val="24"/>
        </w:rPr>
      </w:pPr>
      <w:r>
        <w:rPr>
          <w:rFonts w:ascii="宋体" w:eastAsia="宋体" w:cs="宋体"/>
          <w:kern w:val="0"/>
          <w:sz w:val="24"/>
          <w:szCs w:val="24"/>
        </w:rPr>
        <w:t>8</w:t>
      </w:r>
      <w:r>
        <w:rPr>
          <w:rFonts w:hint="eastAsia" w:ascii="宋体" w:eastAsia="宋体" w:cs="宋体"/>
          <w:kern w:val="0"/>
          <w:sz w:val="24"/>
          <w:szCs w:val="24"/>
        </w:rPr>
        <w:t>.3.2</w:t>
      </w:r>
      <w:r>
        <w:rPr>
          <w:rFonts w:hint="eastAsia"/>
        </w:rPr>
        <w:t xml:space="preserve"> </w:t>
      </w:r>
      <w:r>
        <w:rPr>
          <w:rFonts w:hint="eastAsia" w:ascii="宋体" w:eastAsia="宋体" w:cs="宋体"/>
          <w:kern w:val="0"/>
          <w:sz w:val="24"/>
          <w:szCs w:val="24"/>
        </w:rPr>
        <w:t>10kV金具选用要求</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本工程所用金具材料选自《电力金具手册》第三版，所有金具材料均符合GB/T 2314-1985《电力金具》及GB2314-1997《电力金具通用技术条件》的相关规定。联接螺栓：螺栓和螺母的材质及其特性应分别符合GB/T 3098.1-2000《紧固件机械性能  螺栓、螺钉和螺柱》、GB/T 3098.2-2000《紧固件机械性能  螺母、粗牙螺纹》、GB/T 3098.4-2000《紧固件机械性能  螺母、细牙螺纹》等最新国家标准要求的有关规定。铁附件：材料采用Q235加工制造，并热浸镀锌。工程中所有使用钢材的强度及物理特性指标应符合现行国家相关最新规范标准的规定。工程所用钢材及金具、材料均应有产品的出厂质量检验合格证书。</w:t>
      </w:r>
    </w:p>
    <w:p>
      <w:pPr>
        <w:spacing w:before="240" w:line="360" w:lineRule="auto"/>
        <w:outlineLvl w:val="0"/>
        <w:rPr>
          <w:rFonts w:ascii="宋体" w:eastAsia="宋体" w:cs="宋体"/>
          <w:b/>
          <w:kern w:val="0"/>
          <w:sz w:val="24"/>
          <w:szCs w:val="24"/>
        </w:rPr>
      </w:pPr>
      <w:bookmarkStart w:id="20" w:name="_Toc490754485"/>
      <w:r>
        <w:rPr>
          <w:rFonts w:hint="eastAsia" w:ascii="宋体" w:eastAsia="宋体" w:cs="宋体"/>
          <w:b/>
          <w:kern w:val="0"/>
          <w:sz w:val="24"/>
          <w:szCs w:val="24"/>
        </w:rPr>
        <w:t>九</w:t>
      </w:r>
      <w:r>
        <w:rPr>
          <w:rFonts w:ascii="宋体" w:eastAsia="宋体" w:cs="宋体"/>
          <w:b/>
          <w:kern w:val="0"/>
          <w:sz w:val="24"/>
          <w:szCs w:val="24"/>
        </w:rPr>
        <w:t>、柱上设备</w:t>
      </w:r>
      <w:bookmarkEnd w:id="20"/>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本工程</w:t>
      </w:r>
      <w:r>
        <w:rPr>
          <w:rFonts w:ascii="宋体" w:eastAsia="宋体" w:cs="宋体"/>
          <w:kern w:val="0"/>
          <w:sz w:val="24"/>
          <w:szCs w:val="24"/>
        </w:rPr>
        <w:t>在</w:t>
      </w:r>
      <w:r>
        <w:rPr>
          <w:rFonts w:hint="eastAsia" w:ascii="宋体" w:eastAsia="宋体" w:cs="宋体"/>
          <w:kern w:val="0"/>
          <w:sz w:val="24"/>
          <w:szCs w:val="24"/>
          <w:lang w:val="en-US" w:eastAsia="zh-CN"/>
        </w:rPr>
        <w:t>N15</w:t>
      </w:r>
      <w:r>
        <w:rPr>
          <w:rFonts w:ascii="宋体" w:eastAsia="宋体" w:cs="宋体"/>
          <w:kern w:val="0"/>
          <w:sz w:val="24"/>
          <w:szCs w:val="24"/>
        </w:rPr>
        <w:t>电缆终端杆处安装</w:t>
      </w:r>
      <w:r>
        <w:rPr>
          <w:rFonts w:hint="eastAsia" w:ascii="宋体" w:eastAsia="宋体" w:cs="宋体"/>
          <w:kern w:val="0"/>
          <w:sz w:val="24"/>
          <w:szCs w:val="24"/>
        </w:rPr>
        <w:t>柱上真空</w:t>
      </w:r>
      <w:r>
        <w:rPr>
          <w:rFonts w:ascii="宋体" w:eastAsia="宋体" w:cs="宋体"/>
          <w:kern w:val="0"/>
          <w:sz w:val="24"/>
          <w:szCs w:val="24"/>
        </w:rPr>
        <w:t>断路器、隔离刀闸</w:t>
      </w:r>
      <w:r>
        <w:rPr>
          <w:rFonts w:hint="eastAsia" w:ascii="宋体" w:eastAsia="宋体" w:cs="宋体"/>
          <w:kern w:val="0"/>
          <w:sz w:val="24"/>
          <w:szCs w:val="24"/>
        </w:rPr>
        <w:t>、以及</w:t>
      </w:r>
      <w:r>
        <w:rPr>
          <w:rFonts w:ascii="宋体" w:eastAsia="宋体" w:cs="宋体"/>
          <w:kern w:val="0"/>
          <w:sz w:val="24"/>
          <w:szCs w:val="24"/>
        </w:rPr>
        <w:t>氧化锌避雷器</w:t>
      </w:r>
      <w:r>
        <w:rPr>
          <w:rFonts w:hint="eastAsia" w:ascii="宋体" w:eastAsia="宋体" w:cs="宋体"/>
          <w:kern w:val="0"/>
          <w:sz w:val="24"/>
          <w:szCs w:val="24"/>
        </w:rPr>
        <w:t>各</w:t>
      </w:r>
      <w:r>
        <w:rPr>
          <w:rFonts w:ascii="宋体" w:eastAsia="宋体" w:cs="宋体"/>
          <w:kern w:val="0"/>
          <w:sz w:val="24"/>
          <w:szCs w:val="24"/>
        </w:rPr>
        <w:t>一组。</w:t>
      </w:r>
      <w:r>
        <w:rPr>
          <w:rFonts w:hint="eastAsia" w:ascii="宋体" w:eastAsia="宋体" w:cs="宋体"/>
          <w:kern w:val="0"/>
          <w:sz w:val="24"/>
          <w:szCs w:val="24"/>
        </w:rPr>
        <w:t>在</w:t>
      </w:r>
      <w:r>
        <w:rPr>
          <w:rFonts w:ascii="宋体" w:eastAsia="宋体" w:cs="宋体"/>
          <w:kern w:val="0"/>
          <w:sz w:val="24"/>
          <w:szCs w:val="24"/>
        </w:rPr>
        <w:t>用户端电缆终端杆处</w:t>
      </w:r>
      <w:r>
        <w:rPr>
          <w:rFonts w:hint="eastAsia" w:ascii="宋体" w:eastAsia="宋体" w:cs="宋体"/>
          <w:kern w:val="0"/>
          <w:sz w:val="24"/>
          <w:szCs w:val="24"/>
        </w:rPr>
        <w:t>安装柱上隔离刀闸、以及氧化锌避雷器各一组。</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w:t>
      </w:r>
      <w:r>
        <w:rPr>
          <w:rFonts w:ascii="宋体" w:eastAsia="宋体" w:cs="宋体"/>
          <w:kern w:val="0"/>
          <w:sz w:val="24"/>
          <w:szCs w:val="24"/>
        </w:rPr>
        <w:t>1</w:t>
      </w:r>
      <w:r>
        <w:rPr>
          <w:rFonts w:hint="eastAsia" w:ascii="宋体" w:eastAsia="宋体" w:cs="宋体"/>
          <w:kern w:val="0"/>
          <w:sz w:val="24"/>
          <w:szCs w:val="24"/>
        </w:rPr>
        <w:t>）柱上断路器、柱上负荷开关在线路有电压，有负载时切断线路及转换线路时使用；为实现停电检修时形成明显断开点，柱上断路器、柱上负荷开关（无隔离刀、内置隔离刀）可与柱上隔离开关配合使用；作为分段、分界、联络类开关使用时，一般需加装柱上隔离开关。</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（2）柱上隔离开关在线路有电压、无负载时切断线路时使用，可与柱上开关（无隔离刀、内置隔离刀）配合使用；未带明显断开点的开关电源侧加装隔离开关。</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（3）跌落式熔断器是10kV配电线路分支线和配电变压器最常用的一种短路保护开关，安装于10kV配电线路和配电变压器一次侧，在设备投、切操作时提供保护。</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（4）电缆引下装置用于线路进、出线及分支。根据电缆线路的不同情况，分为经跌落式熔断器引下、经隔离开关引下、经柱上断路器引下三种形式。本工程</w:t>
      </w:r>
      <w:r>
        <w:rPr>
          <w:rFonts w:ascii="宋体" w:eastAsia="宋体" w:cs="宋体"/>
          <w:kern w:val="0"/>
          <w:sz w:val="24"/>
          <w:szCs w:val="24"/>
        </w:rPr>
        <w:t>为经跌落式熔断器</w:t>
      </w:r>
      <w:r>
        <w:rPr>
          <w:rFonts w:hint="eastAsia" w:ascii="宋体" w:eastAsia="宋体" w:cs="宋体"/>
          <w:kern w:val="0"/>
          <w:sz w:val="24"/>
          <w:szCs w:val="24"/>
        </w:rPr>
        <w:t>引下</w:t>
      </w:r>
      <w:r>
        <w:rPr>
          <w:rFonts w:ascii="宋体" w:eastAsia="宋体" w:cs="宋体"/>
          <w:kern w:val="0"/>
          <w:sz w:val="24"/>
          <w:szCs w:val="24"/>
        </w:rPr>
        <w:t>。</w:t>
      </w:r>
    </w:p>
    <w:p>
      <w:pPr>
        <w:spacing w:before="240" w:line="360" w:lineRule="auto"/>
        <w:outlineLvl w:val="0"/>
        <w:rPr>
          <w:rFonts w:ascii="宋体" w:eastAsia="宋体" w:cs="宋体"/>
          <w:b/>
          <w:kern w:val="0"/>
          <w:sz w:val="24"/>
          <w:szCs w:val="24"/>
        </w:rPr>
      </w:pPr>
      <w:bookmarkStart w:id="21" w:name="_Toc490754486"/>
      <w:r>
        <w:rPr>
          <w:rFonts w:hint="eastAsia" w:ascii="宋体" w:eastAsia="宋体" w:cs="宋体"/>
          <w:b/>
          <w:kern w:val="0"/>
          <w:sz w:val="24"/>
          <w:szCs w:val="24"/>
        </w:rPr>
        <w:t>十</w:t>
      </w:r>
      <w:r>
        <w:rPr>
          <w:rFonts w:ascii="宋体" w:eastAsia="宋体" w:cs="宋体"/>
          <w:b/>
          <w:kern w:val="0"/>
          <w:sz w:val="24"/>
          <w:szCs w:val="24"/>
        </w:rPr>
        <w:t>、</w:t>
      </w:r>
      <w:r>
        <w:rPr>
          <w:rFonts w:hint="eastAsia" w:ascii="宋体" w:eastAsia="宋体" w:cs="宋体"/>
          <w:b/>
          <w:kern w:val="0"/>
          <w:sz w:val="24"/>
          <w:szCs w:val="24"/>
        </w:rPr>
        <w:t>10kV线路标识及警示装置</w:t>
      </w:r>
      <w:bookmarkEnd w:id="21"/>
    </w:p>
    <w:p>
      <w:pPr>
        <w:spacing w:line="360" w:lineRule="auto"/>
        <w:outlineLvl w:val="1"/>
        <w:rPr>
          <w:rFonts w:ascii="宋体" w:eastAsia="宋体" w:cs="宋体"/>
          <w:b/>
          <w:kern w:val="0"/>
          <w:sz w:val="24"/>
          <w:szCs w:val="24"/>
        </w:rPr>
      </w:pPr>
      <w:bookmarkStart w:id="22" w:name="_Toc490754487"/>
      <w:r>
        <w:rPr>
          <w:rFonts w:ascii="宋体" w:eastAsia="宋体" w:cs="宋体"/>
          <w:b/>
          <w:kern w:val="0"/>
          <w:sz w:val="24"/>
          <w:szCs w:val="24"/>
        </w:rPr>
        <w:t xml:space="preserve">10.1 </w:t>
      </w:r>
      <w:r>
        <w:rPr>
          <w:rFonts w:hint="eastAsia" w:ascii="宋体" w:eastAsia="宋体" w:cs="宋体"/>
          <w:b/>
          <w:kern w:val="0"/>
          <w:sz w:val="24"/>
          <w:szCs w:val="24"/>
        </w:rPr>
        <w:t>10kV线路标识装置的分类</w:t>
      </w:r>
      <w:bookmarkEnd w:id="22"/>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10kV线路标识装置按材料分可分为粘贴式聚酯材料、油漆涂写等；10kV 线路警示装置按功能分可分为杆塔号标识牌、柱上开关标识牌、电缆标识牌、线路相序标识牌等。</w:t>
      </w:r>
    </w:p>
    <w:p>
      <w:pPr>
        <w:spacing w:line="360" w:lineRule="auto"/>
        <w:outlineLvl w:val="1"/>
        <w:rPr>
          <w:rFonts w:ascii="宋体" w:eastAsia="宋体" w:cs="宋体"/>
          <w:b/>
          <w:kern w:val="0"/>
          <w:sz w:val="24"/>
          <w:szCs w:val="24"/>
        </w:rPr>
      </w:pPr>
      <w:bookmarkStart w:id="23" w:name="_Toc490754488"/>
      <w:r>
        <w:rPr>
          <w:rFonts w:hint="eastAsia" w:ascii="宋体" w:eastAsia="宋体" w:cs="宋体"/>
          <w:b/>
          <w:kern w:val="0"/>
          <w:sz w:val="24"/>
          <w:szCs w:val="24"/>
        </w:rPr>
        <w:t>10.2 10kV线路警示装置的分类</w:t>
      </w:r>
      <w:bookmarkEnd w:id="23"/>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10kV 线路警示装置按材料可分为反光铝板和荧光材料等；10kV 线路警示装置按功能可分为配电线路保护区警示牌、交叉跨越安全警示牌、禁止攀登警示牌、拉线反光警示标识、防撞警示标识等。</w:t>
      </w:r>
    </w:p>
    <w:p>
      <w:pPr>
        <w:spacing w:line="360" w:lineRule="auto"/>
        <w:outlineLvl w:val="1"/>
        <w:rPr>
          <w:rFonts w:ascii="宋体" w:eastAsia="宋体" w:cs="宋体"/>
          <w:b/>
          <w:kern w:val="0"/>
          <w:sz w:val="24"/>
          <w:szCs w:val="24"/>
        </w:rPr>
      </w:pPr>
      <w:bookmarkStart w:id="24" w:name="_Toc490754489"/>
      <w:r>
        <w:rPr>
          <w:rFonts w:hint="eastAsia" w:ascii="宋体" w:eastAsia="宋体" w:cs="宋体"/>
          <w:b/>
          <w:kern w:val="0"/>
          <w:sz w:val="24"/>
          <w:szCs w:val="24"/>
        </w:rPr>
        <w:t>10.3</w:t>
      </w:r>
      <w:r>
        <w:rPr>
          <w:rFonts w:ascii="宋体" w:eastAsia="宋体" w:cs="宋体"/>
          <w:b/>
          <w:kern w:val="0"/>
          <w:sz w:val="24"/>
          <w:szCs w:val="24"/>
        </w:rPr>
        <w:t xml:space="preserve"> </w:t>
      </w:r>
      <w:r>
        <w:rPr>
          <w:rFonts w:hint="eastAsia" w:ascii="宋体" w:eastAsia="宋体" w:cs="宋体"/>
          <w:b/>
          <w:kern w:val="0"/>
          <w:sz w:val="24"/>
          <w:szCs w:val="24"/>
        </w:rPr>
        <w:t>线路标识及警示装置的安装要求</w:t>
      </w:r>
      <w:bookmarkEnd w:id="24"/>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（1）单回线路杆塔号标识牌应悬挂在巡视易见一侧，多回线路杆塔号标识牌在杆塔上排列顺序、朝向应与线路一致，安装高度一般离地面3m 处；柱上开关标识牌采用挂牌或贴牌方式，一般悬挂（粘贴）于柱上开关构架上，单回路应悬挂在巡视易见一侧；多回路在杆塔上的排列顺序、朝向应与线路一致；电缆标识牌一般安装在变电站、配电所出口处第一基杆塔（电缆出线）、配电架空线路电缆引下处，悬挂于电缆保护管上方；线路相序标识牌一般安装在每条线路的第一基杆塔、分支杆及支线第一基杆塔、连接方式换位的转角杆及其两侧电杆、终端杆、联络开关两侧电杆、变换排列方式的电杆及其两侧电杆，排列方式采用从左至右或从上至下两种方式。</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2）警示装置安装位置应正确、醒目，一般面向人员、车辆活动频繁的方向，一般应遵循以下原则：先塔后路：对道路出入口或交叉地段有杆塔且安装位置较明显的地段，应先考虑安装在杆塔上，对无杆塔地段再考虑安装在地面，但应注意安装位置避免成为交通安全隐患。先面后点：对同一地段有多条线路跨越时，可适当考虑合并，在该地段区域两侧醒目位置安装标志牌。先外后内：对人口密集区、施工作业区等地段应先考虑在主要道路出入口及有危及线路运行的机械设备附近安装标志牌。先重后轻：标志牌安装应先考虑重点隐患地段，如交跨限距不够、施工作业区域、线路下方河道有船吊、堆场或易发生车辆撞杆事故的人口密集区等地段。</w:t>
      </w:r>
    </w:p>
    <w:p>
      <w:pPr>
        <w:spacing w:before="240" w:line="360" w:lineRule="auto"/>
        <w:outlineLvl w:val="0"/>
        <w:rPr>
          <w:rFonts w:ascii="宋体" w:eastAsia="宋体" w:cs="宋体"/>
          <w:b/>
          <w:kern w:val="0"/>
          <w:sz w:val="24"/>
          <w:szCs w:val="24"/>
        </w:rPr>
      </w:pPr>
      <w:bookmarkStart w:id="25" w:name="_Toc490754490"/>
      <w:r>
        <w:rPr>
          <w:rFonts w:hint="eastAsia" w:ascii="宋体" w:eastAsia="宋体" w:cs="宋体"/>
          <w:b/>
          <w:kern w:val="0"/>
          <w:sz w:val="24"/>
          <w:szCs w:val="24"/>
        </w:rPr>
        <w:t>十一</w:t>
      </w:r>
      <w:r>
        <w:rPr>
          <w:rFonts w:ascii="宋体" w:eastAsia="宋体" w:cs="宋体"/>
          <w:b/>
          <w:kern w:val="0"/>
          <w:sz w:val="24"/>
          <w:szCs w:val="24"/>
        </w:rPr>
        <w:t>、</w:t>
      </w:r>
      <w:r>
        <w:rPr>
          <w:rFonts w:hint="eastAsia" w:ascii="宋体" w:eastAsia="宋体" w:cs="宋体"/>
          <w:b/>
          <w:kern w:val="0"/>
          <w:sz w:val="24"/>
          <w:szCs w:val="24"/>
        </w:rPr>
        <w:t>电缆部分</w:t>
      </w:r>
      <w:bookmarkEnd w:id="25"/>
    </w:p>
    <w:p>
      <w:pPr>
        <w:spacing w:line="360" w:lineRule="auto"/>
        <w:outlineLvl w:val="1"/>
        <w:rPr>
          <w:rFonts w:ascii="宋体" w:eastAsia="宋体" w:cs="宋体"/>
          <w:b/>
          <w:kern w:val="0"/>
          <w:sz w:val="24"/>
          <w:szCs w:val="24"/>
        </w:rPr>
      </w:pPr>
      <w:bookmarkStart w:id="26" w:name="_Toc490754491"/>
      <w:r>
        <w:rPr>
          <w:rFonts w:hint="eastAsia" w:ascii="宋体" w:eastAsia="宋体" w:cs="宋体"/>
          <w:b/>
          <w:kern w:val="0"/>
          <w:sz w:val="24"/>
          <w:szCs w:val="24"/>
        </w:rPr>
        <w:t>1</w:t>
      </w:r>
      <w:r>
        <w:rPr>
          <w:rFonts w:ascii="宋体" w:eastAsia="宋体" w:cs="宋体"/>
          <w:b/>
          <w:kern w:val="0"/>
          <w:sz w:val="24"/>
          <w:szCs w:val="24"/>
        </w:rPr>
        <w:t>1</w:t>
      </w:r>
      <w:r>
        <w:rPr>
          <w:rFonts w:hint="eastAsia" w:ascii="宋体" w:eastAsia="宋体" w:cs="宋体"/>
          <w:b/>
          <w:kern w:val="0"/>
          <w:sz w:val="24"/>
          <w:szCs w:val="24"/>
        </w:rPr>
        <w:t>.</w:t>
      </w:r>
      <w:r>
        <w:rPr>
          <w:rFonts w:ascii="宋体" w:eastAsia="宋体" w:cs="宋体"/>
          <w:b/>
          <w:kern w:val="0"/>
          <w:sz w:val="24"/>
          <w:szCs w:val="24"/>
        </w:rPr>
        <w:t>1</w:t>
      </w:r>
      <w:r>
        <w:rPr>
          <w:rFonts w:hint="eastAsia" w:ascii="宋体" w:eastAsia="宋体" w:cs="宋体"/>
          <w:b/>
          <w:kern w:val="0"/>
          <w:sz w:val="24"/>
          <w:szCs w:val="24"/>
        </w:rPr>
        <w:t>电缆电气部分</w:t>
      </w:r>
      <w:bookmarkEnd w:id="26"/>
    </w:p>
    <w:p>
      <w:pPr>
        <w:spacing w:line="360" w:lineRule="auto"/>
        <w:ind w:firstLine="424" w:firstLineChars="177"/>
        <w:outlineLvl w:val="2"/>
        <w:rPr>
          <w:rFonts w:ascii="宋体" w:eastAsia="宋体" w:cs="宋体"/>
          <w:kern w:val="0"/>
          <w:sz w:val="24"/>
          <w:szCs w:val="24"/>
        </w:rPr>
      </w:pPr>
      <w:bookmarkStart w:id="27" w:name="_Toc490754492"/>
      <w:r>
        <w:rPr>
          <w:rFonts w:ascii="宋体" w:eastAsia="宋体" w:cs="宋体"/>
          <w:kern w:val="0"/>
          <w:sz w:val="24"/>
          <w:szCs w:val="24"/>
        </w:rPr>
        <w:t>11.1.1</w:t>
      </w:r>
      <w:r>
        <w:rPr>
          <w:rFonts w:hint="eastAsia" w:ascii="宋体" w:eastAsia="宋体" w:cs="宋体"/>
          <w:kern w:val="0"/>
          <w:sz w:val="24"/>
          <w:szCs w:val="24"/>
        </w:rPr>
        <w:t>环境条件选择</w:t>
      </w:r>
      <w:bookmarkEnd w:id="27"/>
    </w:p>
    <w:p>
      <w:pPr>
        <w:spacing w:line="360" w:lineRule="auto"/>
        <w:ind w:firstLine="424" w:firstLineChars="177"/>
        <w:rPr>
          <w:rFonts w:ascii="宋体" w:eastAsia="宋体" w:cs="宋体"/>
          <w:kern w:val="0"/>
          <w:sz w:val="24"/>
          <w:szCs w:val="24"/>
        </w:rPr>
      </w:pPr>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 xml:space="preserve">11.1-1 </w:t>
      </w:r>
      <w:r>
        <w:rPr>
          <w:rFonts w:hint="eastAsia" w:asciiTheme="minorEastAsia" w:hAnsiTheme="minorEastAsia"/>
          <w:sz w:val="24"/>
          <w:szCs w:val="24"/>
        </w:rPr>
        <w:t>环境条件</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04"/>
        <w:gridCol w:w="2410"/>
        <w:gridCol w:w="2268"/>
        <w:gridCol w:w="29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项</w:t>
            </w:r>
            <w:r>
              <w:rPr>
                <w:rFonts w:cs="宋体" w:asciiTheme="minorEastAsia" w:hAnsiTheme="minorEastAsia"/>
                <w:color w:val="000000"/>
                <w:kern w:val="0"/>
                <w:sz w:val="24"/>
                <w:szCs w:val="24"/>
              </w:rPr>
              <w:t xml:space="preserve">   </w:t>
            </w:r>
            <w:r>
              <w:rPr>
                <w:rFonts w:hint="eastAsia" w:cs="宋体" w:asciiTheme="minorEastAsia" w:hAnsiTheme="minorEastAsia"/>
                <w:color w:val="000000"/>
                <w:kern w:val="0"/>
                <w:sz w:val="24"/>
                <w:szCs w:val="24"/>
              </w:rPr>
              <w:t>目</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单</w:t>
            </w:r>
            <w:r>
              <w:rPr>
                <w:rFonts w:cs="宋体" w:asciiTheme="minorEastAsia" w:hAnsiTheme="minorEastAsia"/>
                <w:color w:val="000000"/>
                <w:kern w:val="0"/>
                <w:sz w:val="24"/>
                <w:szCs w:val="24"/>
              </w:rPr>
              <w:t xml:space="preserve">   </w:t>
            </w:r>
            <w:r>
              <w:rPr>
                <w:rFonts w:hint="eastAsia" w:cs="宋体" w:asciiTheme="minorEastAsia" w:hAnsiTheme="minorEastAsia"/>
                <w:color w:val="000000"/>
                <w:kern w:val="0"/>
                <w:sz w:val="24"/>
                <w:szCs w:val="24"/>
              </w:rPr>
              <w:t>位</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参    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海拔</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m</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≤4000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最高环境温度</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最低环境温度</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土壤最高环境温度</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土壤最低环境温度</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日照强度（户外）</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W/cm</w:t>
            </w:r>
            <w:r>
              <w:rPr>
                <w:rFonts w:cs="宋体" w:asciiTheme="minorEastAsia" w:hAnsiTheme="minorEastAsia"/>
                <w:color w:val="000000"/>
                <w:kern w:val="0"/>
                <w:sz w:val="24"/>
                <w:szCs w:val="24"/>
                <w:vertAlign w:val="superscript"/>
              </w:rPr>
              <w:t>2</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restart"/>
          </w:tcPr>
          <w:p>
            <w:pPr>
              <w:spacing w:line="360" w:lineRule="auto"/>
              <w:rPr>
                <w:rFonts w:asciiTheme="minorEastAsia" w:hAnsiTheme="minorEastAsia"/>
                <w:sz w:val="24"/>
                <w:szCs w:val="24"/>
              </w:rPr>
            </w:pPr>
            <w:r>
              <w:rPr>
                <w:rFonts w:hint="eastAsia" w:asciiTheme="minorEastAsia" w:hAnsiTheme="minorEastAsia"/>
                <w:sz w:val="24"/>
                <w:szCs w:val="24"/>
              </w:rPr>
              <w:t>湿</w:t>
            </w:r>
          </w:p>
          <w:p>
            <w:pPr>
              <w:spacing w:line="360" w:lineRule="auto"/>
              <w:rPr>
                <w:rFonts w:asciiTheme="minorEastAsia" w:hAnsiTheme="minorEastAsia"/>
                <w:sz w:val="24"/>
                <w:szCs w:val="24"/>
              </w:rPr>
            </w:pPr>
            <w:r>
              <w:rPr>
                <w:rFonts w:hint="eastAsia" w:asciiTheme="minorEastAsia" w:hAnsiTheme="minorEastAsia"/>
                <w:sz w:val="24"/>
                <w:szCs w:val="24"/>
              </w:rPr>
              <w:t>度</w:t>
            </w:r>
          </w:p>
        </w:tc>
        <w:tc>
          <w:tcPr>
            <w:tcW w:w="2410"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日相对湿度平均值</w:t>
            </w:r>
          </w:p>
        </w:tc>
        <w:tc>
          <w:tcPr>
            <w:tcW w:w="2268" w:type="dxa"/>
            <w:vMerge w:val="restart"/>
            <w:vAlign w:val="center"/>
          </w:tcPr>
          <w:p>
            <w:pPr>
              <w:spacing w:line="360" w:lineRule="auto"/>
              <w:jc w:val="center"/>
              <w:rPr>
                <w:rFonts w:asciiTheme="minorEastAsia" w:hAnsiTheme="minorEastAsia"/>
                <w:sz w:val="24"/>
                <w:szCs w:val="24"/>
              </w:rPr>
            </w:pPr>
            <w:r>
              <w:rPr>
                <w:rFonts w:asciiTheme="minorEastAsia" w:hAnsiTheme="minorEastAsia"/>
                <w:sz w:val="24"/>
                <w:szCs w:val="24"/>
              </w:rPr>
              <w:t>%</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4" w:type="dxa"/>
            <w:vMerge w:val="continue"/>
          </w:tcPr>
          <w:p>
            <w:pPr>
              <w:spacing w:line="360" w:lineRule="auto"/>
              <w:rPr>
                <w:rFonts w:asciiTheme="minorEastAsia" w:hAnsiTheme="minorEastAsia"/>
                <w:sz w:val="24"/>
                <w:szCs w:val="24"/>
              </w:rPr>
            </w:pPr>
          </w:p>
        </w:tc>
        <w:tc>
          <w:tcPr>
            <w:tcW w:w="2410"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月相对湿度平均值</w:t>
            </w:r>
          </w:p>
        </w:tc>
        <w:tc>
          <w:tcPr>
            <w:tcW w:w="2268" w:type="dxa"/>
            <w:vMerge w:val="continue"/>
          </w:tcPr>
          <w:p>
            <w:pPr>
              <w:spacing w:line="360" w:lineRule="auto"/>
              <w:rPr>
                <w:rFonts w:asciiTheme="minorEastAsia" w:hAnsiTheme="minorEastAsia"/>
                <w:sz w:val="24"/>
                <w:szCs w:val="24"/>
              </w:rPr>
            </w:pP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≤9</w:t>
            </w:r>
            <w:r>
              <w:rPr>
                <w:rFonts w:asciiTheme="minorEastAsia" w:hAnsiTheme="minorEastAsia"/>
                <w:sz w:val="24"/>
                <w:szCs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雷电日</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d/a</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最大风速（户外）</w:t>
            </w:r>
          </w:p>
        </w:tc>
        <w:tc>
          <w:tcPr>
            <w:tcW w:w="2268"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(m/s)/Pa</w:t>
            </w:r>
          </w:p>
        </w:tc>
        <w:tc>
          <w:tcPr>
            <w:tcW w:w="2914" w:type="dxa"/>
          </w:tcPr>
          <w:p>
            <w:pPr>
              <w:spacing w:line="360" w:lineRule="auto"/>
              <w:jc w:val="center"/>
              <w:rPr>
                <w:rFonts w:asciiTheme="minorEastAsia" w:hAnsiTheme="minorEastAsia"/>
                <w:sz w:val="24"/>
                <w:szCs w:val="24"/>
              </w:rPr>
            </w:pPr>
            <w:r>
              <w:rPr>
                <w:rFonts w:hint="eastAsia" w:asciiTheme="minorEastAsia" w:hAnsiTheme="minorEastAsia"/>
                <w:sz w:val="24"/>
                <w:szCs w:val="24"/>
              </w:rPr>
              <w:t>35/700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114" w:type="dxa"/>
            <w:gridSpan w:val="2"/>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电缆敷设方式</w:t>
            </w:r>
          </w:p>
        </w:tc>
        <w:tc>
          <w:tcPr>
            <w:tcW w:w="5182" w:type="dxa"/>
            <w:gridSpan w:val="2"/>
          </w:tcPr>
          <w:p>
            <w:pPr>
              <w:spacing w:line="360" w:lineRule="auto"/>
              <w:jc w:val="center"/>
              <w:rPr>
                <w:rFonts w:asciiTheme="minorEastAsia" w:hAnsiTheme="minorEastAsia"/>
                <w:sz w:val="24"/>
                <w:szCs w:val="24"/>
              </w:rPr>
            </w:pPr>
            <w:r>
              <w:rPr>
                <w:rFonts w:hint="eastAsia" w:asciiTheme="minorEastAsia" w:hAnsiTheme="minorEastAsia"/>
                <w:sz w:val="24"/>
                <w:szCs w:val="24"/>
              </w:rPr>
              <w:t>排管</w:t>
            </w:r>
          </w:p>
        </w:tc>
      </w:tr>
    </w:tbl>
    <w:p>
      <w:pPr>
        <w:spacing w:line="360" w:lineRule="auto"/>
        <w:ind w:firstLine="424" w:firstLineChars="177"/>
        <w:outlineLvl w:val="2"/>
        <w:rPr>
          <w:rFonts w:ascii="宋体" w:eastAsia="宋体" w:cs="宋体"/>
          <w:kern w:val="0"/>
          <w:sz w:val="24"/>
          <w:szCs w:val="24"/>
        </w:rPr>
      </w:pPr>
      <w:bookmarkStart w:id="28" w:name="_Toc490754493"/>
      <w:r>
        <w:rPr>
          <w:rFonts w:ascii="宋体" w:eastAsia="宋体" w:cs="宋体"/>
          <w:kern w:val="0"/>
          <w:sz w:val="24"/>
          <w:szCs w:val="24"/>
        </w:rPr>
        <w:t>11.1.2</w:t>
      </w:r>
      <w:r>
        <w:rPr>
          <w:rFonts w:hint="eastAsia" w:ascii="宋体" w:eastAsia="宋体" w:cs="宋体"/>
          <w:kern w:val="0"/>
          <w:sz w:val="24"/>
          <w:szCs w:val="24"/>
        </w:rPr>
        <w:t>运行条件选择</w:t>
      </w:r>
      <w:bookmarkEnd w:id="28"/>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 xml:space="preserve">11.1-2 </w:t>
      </w:r>
      <w:r>
        <w:rPr>
          <w:rFonts w:hint="eastAsia" w:asciiTheme="minorEastAsia" w:hAnsiTheme="minorEastAsia"/>
          <w:sz w:val="24"/>
          <w:szCs w:val="24"/>
        </w:rPr>
        <w:t>运行条件</w:t>
      </w:r>
    </w:p>
    <w:tbl>
      <w:tblPr>
        <w:tblStyle w:val="12"/>
        <w:tblW w:w="84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02"/>
        <w:gridCol w:w="11"/>
        <w:gridCol w:w="981"/>
        <w:gridCol w:w="46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813" w:type="dxa"/>
            <w:gridSpan w:val="2"/>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项</w:t>
            </w:r>
            <w:r>
              <w:rPr>
                <w:rFonts w:ascii="宋体" w:eastAsia="宋体" w:cs="宋体"/>
                <w:color w:val="000000"/>
                <w:kern w:val="0"/>
                <w:sz w:val="24"/>
                <w:szCs w:val="24"/>
              </w:rPr>
              <w:t xml:space="preserve"> </w:t>
            </w:r>
            <w:r>
              <w:rPr>
                <w:rFonts w:hint="eastAsia" w:ascii="宋体" w:eastAsia="宋体" w:cs="宋体"/>
                <w:color w:val="000000"/>
                <w:kern w:val="0"/>
                <w:sz w:val="24"/>
                <w:szCs w:val="24"/>
              </w:rPr>
              <w:t>目</w:t>
            </w:r>
          </w:p>
        </w:tc>
        <w:tc>
          <w:tcPr>
            <w:tcW w:w="981"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单</w:t>
            </w:r>
            <w:r>
              <w:rPr>
                <w:rFonts w:ascii="宋体" w:eastAsia="宋体" w:cs="宋体"/>
                <w:color w:val="000000"/>
                <w:kern w:val="0"/>
                <w:sz w:val="24"/>
                <w:szCs w:val="24"/>
              </w:rPr>
              <w:t xml:space="preserve"> </w:t>
            </w:r>
            <w:r>
              <w:rPr>
                <w:rFonts w:hint="eastAsia" w:ascii="宋体" w:eastAsia="宋体" w:cs="宋体"/>
                <w:color w:val="000000"/>
                <w:kern w:val="0"/>
                <w:sz w:val="24"/>
                <w:szCs w:val="24"/>
              </w:rPr>
              <w:t>位</w:t>
            </w:r>
          </w:p>
        </w:tc>
        <w:tc>
          <w:tcPr>
            <w:tcW w:w="4648"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参</w:t>
            </w:r>
            <w:r>
              <w:rPr>
                <w:rFonts w:ascii="宋体" w:eastAsia="宋体" w:cs="宋体"/>
                <w:color w:val="000000"/>
                <w:kern w:val="0"/>
                <w:sz w:val="24"/>
                <w:szCs w:val="24"/>
              </w:rPr>
              <w:t xml:space="preserve"> </w:t>
            </w:r>
            <w:r>
              <w:rPr>
                <w:rFonts w:hint="eastAsia" w:ascii="宋体" w:eastAsia="宋体" w:cs="宋体"/>
                <w:color w:val="000000"/>
                <w:kern w:val="0"/>
                <w:sz w:val="24"/>
                <w:szCs w:val="24"/>
              </w:rPr>
              <w:t>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813" w:type="dxa"/>
            <w:gridSpan w:val="2"/>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系统额定电压</w:t>
            </w:r>
          </w:p>
        </w:tc>
        <w:tc>
          <w:tcPr>
            <w:tcW w:w="981"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kV</w:t>
            </w:r>
          </w:p>
        </w:tc>
        <w:tc>
          <w:tcPr>
            <w:tcW w:w="4648"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813" w:type="dxa"/>
            <w:gridSpan w:val="2"/>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系统最高运行电压</w:t>
            </w:r>
          </w:p>
        </w:tc>
        <w:tc>
          <w:tcPr>
            <w:tcW w:w="981"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kV</w:t>
            </w:r>
          </w:p>
        </w:tc>
        <w:tc>
          <w:tcPr>
            <w:tcW w:w="4648"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813" w:type="dxa"/>
            <w:gridSpan w:val="2"/>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系统频率</w:t>
            </w:r>
          </w:p>
        </w:tc>
        <w:tc>
          <w:tcPr>
            <w:tcW w:w="981"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Hz</w:t>
            </w:r>
          </w:p>
        </w:tc>
        <w:tc>
          <w:tcPr>
            <w:tcW w:w="4648"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80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系统接地方式</w:t>
            </w:r>
          </w:p>
        </w:tc>
        <w:tc>
          <w:tcPr>
            <w:tcW w:w="992" w:type="dxa"/>
            <w:gridSpan w:val="2"/>
            <w:vAlign w:val="center"/>
          </w:tcPr>
          <w:p>
            <w:pPr>
              <w:autoSpaceDE w:val="0"/>
              <w:autoSpaceDN w:val="0"/>
              <w:adjustRightInd w:val="0"/>
              <w:jc w:val="center"/>
              <w:rPr>
                <w:rFonts w:ascii="宋体" w:eastAsia="宋体" w:cs="宋体"/>
                <w:color w:val="000000"/>
                <w:kern w:val="0"/>
                <w:sz w:val="24"/>
                <w:szCs w:val="24"/>
              </w:rPr>
            </w:pPr>
          </w:p>
        </w:tc>
        <w:tc>
          <w:tcPr>
            <w:tcW w:w="4648"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中性点不接地或经消弧线圈接地系统</w:t>
            </w:r>
          </w:p>
        </w:tc>
      </w:tr>
    </w:tbl>
    <w:p>
      <w:pPr>
        <w:spacing w:line="360" w:lineRule="auto"/>
        <w:ind w:firstLine="424" w:firstLineChars="177"/>
        <w:outlineLvl w:val="2"/>
        <w:rPr>
          <w:rFonts w:ascii="宋体" w:eastAsia="宋体" w:cs="宋体"/>
          <w:kern w:val="0"/>
          <w:sz w:val="24"/>
          <w:szCs w:val="24"/>
        </w:rPr>
      </w:pPr>
      <w:bookmarkStart w:id="29" w:name="_Toc490754494"/>
      <w:r>
        <w:rPr>
          <w:rFonts w:ascii="宋体" w:eastAsia="宋体" w:cs="宋体"/>
          <w:kern w:val="0"/>
          <w:sz w:val="24"/>
          <w:szCs w:val="24"/>
        </w:rPr>
        <w:t>11.1.3</w:t>
      </w:r>
      <w:r>
        <w:rPr>
          <w:rFonts w:hint="eastAsia" w:ascii="宋体" w:eastAsia="宋体" w:cs="宋体"/>
          <w:kern w:val="0"/>
          <w:sz w:val="24"/>
          <w:szCs w:val="24"/>
        </w:rPr>
        <w:t>电缆选择原则</w:t>
      </w:r>
      <w:bookmarkEnd w:id="29"/>
    </w:p>
    <w:p>
      <w:pPr>
        <w:spacing w:line="360" w:lineRule="auto"/>
        <w:ind w:firstLine="484" w:firstLineChars="202"/>
        <w:rPr>
          <w:rFonts w:asciiTheme="minorEastAsia" w:hAnsiTheme="minorEastAsia"/>
          <w:sz w:val="24"/>
          <w:szCs w:val="24"/>
        </w:rPr>
      </w:pPr>
      <w:r>
        <w:rPr>
          <w:rFonts w:hint="eastAsia" w:asciiTheme="minorEastAsia" w:hAnsiTheme="minorEastAsia"/>
          <w:sz w:val="24"/>
          <w:szCs w:val="24"/>
        </w:rPr>
        <w:t xml:space="preserve">（1）电力电缆选用应满足负荷要求、热稳定校验、敷设条件、安装条件、对电缆本体的要求、运输条件等。 </w:t>
      </w:r>
    </w:p>
    <w:p>
      <w:pPr>
        <w:spacing w:line="360" w:lineRule="auto"/>
        <w:ind w:firstLine="484" w:firstLineChars="202"/>
        <w:rPr>
          <w:rFonts w:asciiTheme="minorEastAsia" w:hAnsiTheme="minorEastAsia"/>
          <w:sz w:val="24"/>
          <w:szCs w:val="24"/>
        </w:rPr>
      </w:pPr>
      <w:r>
        <w:rPr>
          <w:rFonts w:hint="eastAsia" w:asciiTheme="minorEastAsia" w:hAnsiTheme="minorEastAsia"/>
          <w:sz w:val="24"/>
          <w:szCs w:val="24"/>
        </w:rPr>
        <w:t xml:space="preserve">（2）电力电缆采用交联聚乙烯绝缘电缆。 </w:t>
      </w:r>
    </w:p>
    <w:p>
      <w:pPr>
        <w:spacing w:line="360" w:lineRule="auto"/>
        <w:ind w:firstLine="484" w:firstLineChars="202"/>
        <w:rPr>
          <w:rFonts w:asciiTheme="minorEastAsia" w:hAnsiTheme="minorEastAsia"/>
          <w:sz w:val="24"/>
          <w:szCs w:val="24"/>
        </w:rPr>
      </w:pPr>
      <w:r>
        <w:rPr>
          <w:rFonts w:hint="eastAsia" w:asciiTheme="minorEastAsia" w:hAnsiTheme="minorEastAsia"/>
          <w:sz w:val="24"/>
          <w:szCs w:val="24"/>
        </w:rPr>
        <w:t>（3）电缆截面的选择，应在不同敷设条件下电缆额定载流量的基础上，考虑环境温度、并行敷设、热阻系数、埋设深度等因素后选择。</w:t>
      </w:r>
    </w:p>
    <w:p>
      <w:pPr>
        <w:spacing w:line="360" w:lineRule="auto"/>
        <w:ind w:firstLine="424" w:firstLineChars="177"/>
        <w:outlineLvl w:val="2"/>
        <w:rPr>
          <w:rFonts w:ascii="宋体" w:eastAsia="宋体" w:cs="宋体"/>
          <w:kern w:val="0"/>
          <w:sz w:val="24"/>
          <w:szCs w:val="24"/>
        </w:rPr>
      </w:pPr>
      <w:bookmarkStart w:id="30" w:name="_Toc490754495"/>
      <w:r>
        <w:rPr>
          <w:rFonts w:ascii="宋体" w:eastAsia="宋体" w:cs="宋体"/>
          <w:kern w:val="0"/>
          <w:sz w:val="24"/>
          <w:szCs w:val="24"/>
        </w:rPr>
        <w:t>11.1.4</w:t>
      </w:r>
      <w:r>
        <w:rPr>
          <w:rFonts w:hint="eastAsia" w:ascii="宋体" w:eastAsia="宋体" w:cs="宋体"/>
          <w:kern w:val="0"/>
          <w:sz w:val="24"/>
          <w:szCs w:val="24"/>
        </w:rPr>
        <w:t>电缆型号及使用范围</w:t>
      </w:r>
      <w:bookmarkEnd w:id="30"/>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本工程电缆选用三芯电缆，电缆型号、名称及其适用范围如表</w:t>
      </w:r>
      <w:r>
        <w:rPr>
          <w:rFonts w:asciiTheme="minorEastAsia" w:hAnsiTheme="minorEastAsia"/>
          <w:sz w:val="24"/>
          <w:szCs w:val="24"/>
        </w:rPr>
        <w:t>11.1</w:t>
      </w:r>
      <w:r>
        <w:rPr>
          <w:rFonts w:hint="eastAsia" w:asciiTheme="minorEastAsia" w:hAnsiTheme="minorEastAsia"/>
          <w:sz w:val="24"/>
          <w:szCs w:val="24"/>
        </w:rPr>
        <w:t>-3所示。</w:t>
      </w:r>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11.1</w:t>
      </w:r>
      <w:r>
        <w:rPr>
          <w:rFonts w:hint="eastAsia" w:asciiTheme="minorEastAsia" w:hAnsiTheme="minorEastAsia"/>
          <w:sz w:val="24"/>
          <w:szCs w:val="24"/>
        </w:rPr>
        <w:t>-</w:t>
      </w:r>
      <w:r>
        <w:rPr>
          <w:rFonts w:asciiTheme="minorEastAsia" w:hAnsiTheme="minorEastAsia"/>
          <w:sz w:val="24"/>
          <w:szCs w:val="24"/>
        </w:rPr>
        <w:t>3</w:t>
      </w:r>
      <w:r>
        <w:rPr>
          <w:rFonts w:hint="eastAsia" w:asciiTheme="minorEastAsia" w:hAnsiTheme="minorEastAsia"/>
          <w:sz w:val="24"/>
          <w:szCs w:val="24"/>
        </w:rPr>
        <w:t xml:space="preserve"> 运行条件</w:t>
      </w:r>
    </w:p>
    <w:tbl>
      <w:tblPr>
        <w:tblStyle w:val="13"/>
        <w:tblW w:w="875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809"/>
        <w:gridCol w:w="2811"/>
        <w:gridCol w:w="41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09" w:type="dxa"/>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型 号</w:t>
            </w:r>
          </w:p>
        </w:tc>
        <w:tc>
          <w:tcPr>
            <w:tcW w:w="2811" w:type="dxa"/>
            <w:vMerge w:val="restart"/>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名 称</w:t>
            </w:r>
          </w:p>
        </w:tc>
        <w:tc>
          <w:tcPr>
            <w:tcW w:w="4135" w:type="dxa"/>
            <w:vMerge w:val="restart"/>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适 用 范 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09" w:type="dxa"/>
            <w:vAlign w:val="center"/>
          </w:tcPr>
          <w:p>
            <w:pPr>
              <w:spacing w:line="360" w:lineRule="auto"/>
              <w:jc w:val="center"/>
              <w:rPr>
                <w:rFonts w:asciiTheme="minorEastAsia" w:hAnsiTheme="minorEastAsia"/>
                <w:sz w:val="24"/>
                <w:szCs w:val="24"/>
              </w:rPr>
            </w:pPr>
            <w:r>
              <w:rPr>
                <w:rFonts w:hint="eastAsia" w:asciiTheme="minorEastAsia" w:hAnsiTheme="minorEastAsia"/>
                <w:sz w:val="24"/>
                <w:szCs w:val="24"/>
              </w:rPr>
              <w:t>铜芯</w:t>
            </w:r>
          </w:p>
        </w:tc>
        <w:tc>
          <w:tcPr>
            <w:tcW w:w="2811" w:type="dxa"/>
            <w:vMerge w:val="continue"/>
            <w:vAlign w:val="center"/>
          </w:tcPr>
          <w:p>
            <w:pPr>
              <w:spacing w:line="360" w:lineRule="auto"/>
              <w:jc w:val="center"/>
              <w:rPr>
                <w:rFonts w:asciiTheme="minorEastAsia" w:hAnsiTheme="minorEastAsia"/>
                <w:sz w:val="24"/>
                <w:szCs w:val="24"/>
              </w:rPr>
            </w:pPr>
          </w:p>
        </w:tc>
        <w:tc>
          <w:tcPr>
            <w:tcW w:w="4135" w:type="dxa"/>
            <w:vMerge w:val="continue"/>
            <w:vAlign w:val="center"/>
          </w:tcPr>
          <w:p>
            <w:pPr>
              <w:spacing w:line="360" w:lineRule="auto"/>
              <w:jc w:val="center"/>
              <w:rPr>
                <w:rFonts w:asciiTheme="minorEastAsia" w:hAnsiTheme="minor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809" w:type="dxa"/>
            <w:vAlign w:val="center"/>
          </w:tcPr>
          <w:p>
            <w:pPr>
              <w:spacing w:line="360" w:lineRule="auto"/>
              <w:jc w:val="center"/>
              <w:rPr>
                <w:rFonts w:asciiTheme="minorEastAsia" w:hAnsiTheme="minorEastAsia"/>
                <w:sz w:val="24"/>
                <w:szCs w:val="24"/>
              </w:rPr>
            </w:pPr>
            <w:r>
              <w:rPr>
                <w:rFonts w:asciiTheme="minorEastAsia" w:hAnsiTheme="minorEastAsia"/>
                <w:sz w:val="24"/>
                <w:szCs w:val="24"/>
              </w:rPr>
              <w:t>YJY</w:t>
            </w:r>
            <w:r>
              <w:rPr>
                <w:rFonts w:asciiTheme="minorEastAsia" w:hAnsiTheme="minorEastAsia"/>
                <w:sz w:val="24"/>
                <w:szCs w:val="24"/>
                <w:vertAlign w:val="subscript"/>
              </w:rPr>
              <w:t>22</w:t>
            </w:r>
          </w:p>
        </w:tc>
        <w:tc>
          <w:tcPr>
            <w:tcW w:w="2811" w:type="dxa"/>
            <w:vAlign w:val="center"/>
          </w:tcPr>
          <w:p>
            <w:pPr>
              <w:spacing w:line="360" w:lineRule="auto"/>
              <w:jc w:val="left"/>
              <w:rPr>
                <w:rFonts w:asciiTheme="minorEastAsia" w:hAnsiTheme="minorEastAsia"/>
                <w:sz w:val="24"/>
                <w:szCs w:val="24"/>
              </w:rPr>
            </w:pPr>
            <w:r>
              <w:rPr>
                <w:rFonts w:hint="eastAsia" w:asciiTheme="minorEastAsia" w:hAnsiTheme="minorEastAsia"/>
                <w:sz w:val="24"/>
                <w:szCs w:val="24"/>
              </w:rPr>
              <w:t>交联聚乙烯绝缘钢带铠装聚乙稀护套电力电缆</w:t>
            </w:r>
          </w:p>
        </w:tc>
        <w:tc>
          <w:tcPr>
            <w:tcW w:w="4135" w:type="dxa"/>
            <w:vAlign w:val="center"/>
          </w:tcPr>
          <w:p>
            <w:pPr>
              <w:spacing w:line="360" w:lineRule="auto"/>
              <w:jc w:val="left"/>
              <w:rPr>
                <w:rFonts w:asciiTheme="minorEastAsia" w:hAnsiTheme="minorEastAsia"/>
                <w:sz w:val="24"/>
                <w:szCs w:val="24"/>
              </w:rPr>
            </w:pPr>
            <w:r>
              <w:rPr>
                <w:rFonts w:hint="eastAsia" w:asciiTheme="minorEastAsia" w:hAnsiTheme="minorEastAsia"/>
                <w:sz w:val="24"/>
                <w:szCs w:val="24"/>
              </w:rPr>
              <w:t>可在土壤直埋敷设，能承受机械外力作用，但不能承受大的拉力</w:t>
            </w:r>
          </w:p>
        </w:tc>
      </w:tr>
    </w:tbl>
    <w:p>
      <w:pPr>
        <w:spacing w:line="360" w:lineRule="auto"/>
        <w:ind w:firstLine="424" w:firstLineChars="177"/>
        <w:outlineLvl w:val="2"/>
        <w:rPr>
          <w:rFonts w:ascii="宋体" w:eastAsia="宋体" w:cs="宋体"/>
          <w:kern w:val="0"/>
          <w:sz w:val="24"/>
          <w:szCs w:val="24"/>
        </w:rPr>
      </w:pPr>
      <w:bookmarkStart w:id="31" w:name="_Toc490754496"/>
      <w:r>
        <w:rPr>
          <w:rFonts w:ascii="宋体" w:eastAsia="宋体" w:cs="宋体"/>
          <w:kern w:val="0"/>
          <w:sz w:val="24"/>
          <w:szCs w:val="24"/>
        </w:rPr>
        <w:t>11.1.5</w:t>
      </w:r>
      <w:r>
        <w:rPr>
          <w:rFonts w:hint="eastAsia" w:ascii="宋体" w:eastAsia="宋体" w:cs="宋体"/>
          <w:kern w:val="0"/>
          <w:sz w:val="24"/>
          <w:szCs w:val="24"/>
        </w:rPr>
        <w:t>电缆绝缘屏蔽或金属护套、铠装、外护套选择</w:t>
      </w:r>
      <w:bookmarkEnd w:id="31"/>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 xml:space="preserve">11.1-4 </w:t>
      </w:r>
      <w:r>
        <w:rPr>
          <w:rFonts w:hint="eastAsia" w:asciiTheme="minorEastAsia" w:hAnsiTheme="minorEastAsia"/>
          <w:sz w:val="24"/>
          <w:szCs w:val="24"/>
        </w:rPr>
        <w:t>绝缘屏蔽或金属护套、铠装、外护套选择</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67"/>
        <w:gridCol w:w="2419"/>
        <w:gridCol w:w="2397"/>
        <w:gridCol w:w="12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2167"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敷设方式</w:t>
            </w:r>
          </w:p>
        </w:tc>
        <w:tc>
          <w:tcPr>
            <w:tcW w:w="2419" w:type="dxa"/>
            <w:vAlign w:val="center"/>
          </w:tcPr>
          <w:p>
            <w:pPr>
              <w:autoSpaceDE w:val="0"/>
              <w:autoSpaceDN w:val="0"/>
              <w:adjustRightInd w:val="0"/>
              <w:jc w:val="left"/>
              <w:rPr>
                <w:rFonts w:ascii="宋体" w:eastAsia="宋体" w:cs="宋体"/>
                <w:color w:val="000000"/>
                <w:kern w:val="0"/>
                <w:sz w:val="24"/>
                <w:szCs w:val="24"/>
              </w:rPr>
            </w:pPr>
            <w:r>
              <w:rPr>
                <w:rFonts w:hint="eastAsia" w:ascii="宋体" w:eastAsia="宋体" w:cs="宋体"/>
                <w:color w:val="000000"/>
                <w:kern w:val="0"/>
                <w:sz w:val="24"/>
                <w:szCs w:val="24"/>
              </w:rPr>
              <w:t>绝缘屏蔽或金属护套</w:t>
            </w:r>
            <w:r>
              <w:rPr>
                <w:rFonts w:ascii="宋体" w:eastAsia="宋体" w:cs="宋体"/>
                <w:color w:val="000000"/>
                <w:kern w:val="0"/>
                <w:sz w:val="24"/>
                <w:szCs w:val="24"/>
              </w:rPr>
              <w:t xml:space="preserve"> </w:t>
            </w:r>
          </w:p>
        </w:tc>
        <w:tc>
          <w:tcPr>
            <w:tcW w:w="2397"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加强层或铠装</w:t>
            </w:r>
          </w:p>
        </w:tc>
        <w:tc>
          <w:tcPr>
            <w:tcW w:w="1293"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外护套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2167"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排管</w:t>
            </w:r>
          </w:p>
        </w:tc>
        <w:tc>
          <w:tcPr>
            <w:tcW w:w="2419"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铜带</w:t>
            </w:r>
          </w:p>
        </w:tc>
        <w:tc>
          <w:tcPr>
            <w:tcW w:w="2397"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铠装（3芯）</w:t>
            </w:r>
          </w:p>
        </w:tc>
        <w:tc>
          <w:tcPr>
            <w:tcW w:w="1293"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聚氯乙烯</w:t>
            </w:r>
          </w:p>
        </w:tc>
      </w:tr>
    </w:tbl>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（1） 在潮湿、含化学腐蚀环境或易受水浸泡的电缆，宜选用聚乙烯等材料类型的外护套。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（2） 在保护管中的电缆应具有挤塑外护层。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（3） 在电缆夹层、电缆沟、电缆隧道等防火要求高的场所宜采用阻燃外护套，根据防火要求选择相应的阻燃等级。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（4） 有白蚁危害的场所应采用金属套或钢带铠装，或在非金属外护套外采用防白蚁护套。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（5） 有鼠害的场所宜在外护套外添加防鼠金属铠装，或采用硬质护套。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（6）有化学溶液污染的场所应按其化学成分采用相应材质的外护套。</w:t>
      </w:r>
    </w:p>
    <w:p>
      <w:pPr>
        <w:spacing w:line="360" w:lineRule="auto"/>
        <w:ind w:firstLine="424" w:firstLineChars="177"/>
        <w:outlineLvl w:val="2"/>
        <w:rPr>
          <w:rFonts w:ascii="宋体" w:eastAsia="宋体" w:cs="宋体"/>
          <w:kern w:val="0"/>
          <w:sz w:val="24"/>
          <w:szCs w:val="24"/>
        </w:rPr>
      </w:pPr>
      <w:bookmarkStart w:id="32" w:name="_Toc490754497"/>
      <w:r>
        <w:rPr>
          <w:rFonts w:hint="eastAsia" w:ascii="宋体" w:eastAsia="宋体" w:cs="宋体"/>
          <w:kern w:val="0"/>
          <w:sz w:val="24"/>
          <w:szCs w:val="24"/>
        </w:rPr>
        <w:t>11.</w:t>
      </w:r>
      <w:r>
        <w:rPr>
          <w:rFonts w:ascii="宋体" w:eastAsia="宋体" w:cs="宋体"/>
          <w:kern w:val="0"/>
          <w:sz w:val="24"/>
          <w:szCs w:val="24"/>
        </w:rPr>
        <w:t>1.6</w:t>
      </w:r>
      <w:r>
        <w:rPr>
          <w:rFonts w:hint="eastAsia" w:ascii="宋体" w:eastAsia="宋体" w:cs="宋体"/>
          <w:kern w:val="0"/>
          <w:sz w:val="24"/>
          <w:szCs w:val="24"/>
        </w:rPr>
        <w:t>电缆截面选择</w:t>
      </w:r>
      <w:bookmarkEnd w:id="32"/>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11.1</w:t>
      </w:r>
      <w:r>
        <w:rPr>
          <w:rFonts w:hint="eastAsia" w:asciiTheme="minorEastAsia" w:hAnsiTheme="minorEastAsia"/>
          <w:sz w:val="24"/>
          <w:szCs w:val="24"/>
        </w:rPr>
        <w:t>-5 导体最高允许温度选择</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1"/>
        <w:gridCol w:w="1952"/>
        <w:gridCol w:w="40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111" w:type="dxa"/>
            <w:vMerge w:val="restart"/>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绝缘类型</w:t>
            </w:r>
          </w:p>
        </w:tc>
        <w:tc>
          <w:tcPr>
            <w:tcW w:w="6016" w:type="dxa"/>
            <w:gridSpan w:val="2"/>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最高允许温度（℃）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111" w:type="dxa"/>
            <w:vMerge w:val="continue"/>
            <w:vAlign w:val="center"/>
          </w:tcPr>
          <w:p>
            <w:pPr>
              <w:autoSpaceDE w:val="0"/>
              <w:autoSpaceDN w:val="0"/>
              <w:adjustRightInd w:val="0"/>
              <w:jc w:val="center"/>
              <w:rPr>
                <w:rFonts w:ascii="宋体" w:eastAsia="宋体" w:cs="宋体"/>
                <w:color w:val="000000"/>
                <w:kern w:val="0"/>
                <w:sz w:val="24"/>
                <w:szCs w:val="24"/>
              </w:rPr>
            </w:pPr>
          </w:p>
        </w:tc>
        <w:tc>
          <w:tcPr>
            <w:tcW w:w="1952" w:type="dxa"/>
            <w:vAlign w:val="center"/>
          </w:tcPr>
          <w:p>
            <w:pPr>
              <w:spacing w:line="360" w:lineRule="auto"/>
              <w:jc w:val="center"/>
              <w:rPr>
                <w:sz w:val="24"/>
                <w:szCs w:val="24"/>
              </w:rPr>
            </w:pPr>
            <w:r>
              <w:rPr>
                <w:rFonts w:hint="eastAsia"/>
                <w:sz w:val="24"/>
                <w:szCs w:val="24"/>
              </w:rPr>
              <w:t>持续工作</w:t>
            </w:r>
          </w:p>
        </w:tc>
        <w:tc>
          <w:tcPr>
            <w:tcW w:w="4064" w:type="dxa"/>
            <w:vAlign w:val="center"/>
          </w:tcPr>
          <w:p>
            <w:pPr>
              <w:spacing w:line="360" w:lineRule="auto"/>
              <w:jc w:val="center"/>
              <w:rPr>
                <w:sz w:val="24"/>
                <w:szCs w:val="24"/>
              </w:rPr>
            </w:pPr>
            <w:r>
              <w:rPr>
                <w:rFonts w:hint="eastAsia"/>
                <w:sz w:val="24"/>
                <w:szCs w:val="24"/>
              </w:rPr>
              <w:t>短路暂态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111"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交联聚乙烯</w:t>
            </w:r>
          </w:p>
        </w:tc>
        <w:tc>
          <w:tcPr>
            <w:tcW w:w="1952"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90</w:t>
            </w:r>
          </w:p>
        </w:tc>
        <w:tc>
          <w:tcPr>
            <w:tcW w:w="4064"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250</w:t>
            </w:r>
          </w:p>
        </w:tc>
      </w:tr>
    </w:tbl>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（1）电缆导体截面的选择</w:t>
      </w:r>
    </w:p>
    <w:p>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表</w:t>
      </w:r>
      <w:r>
        <w:rPr>
          <w:rFonts w:asciiTheme="minorEastAsia" w:hAnsiTheme="minorEastAsia"/>
          <w:color w:val="auto"/>
          <w:sz w:val="24"/>
          <w:szCs w:val="24"/>
        </w:rPr>
        <w:t>11.1-6 10kV</w:t>
      </w:r>
      <w:r>
        <w:rPr>
          <w:rFonts w:hint="eastAsia" w:asciiTheme="minorEastAsia" w:hAnsiTheme="minorEastAsia"/>
          <w:color w:val="auto"/>
          <w:sz w:val="24"/>
          <w:szCs w:val="24"/>
        </w:rPr>
        <w:t>交联电缆载流量</w:t>
      </w:r>
    </w:p>
    <w:tbl>
      <w:tblPr>
        <w:tblStyle w:val="13"/>
        <w:tblW w:w="835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37"/>
        <w:gridCol w:w="1567"/>
        <w:gridCol w:w="1483"/>
        <w:gridCol w:w="1103"/>
        <w:gridCol w:w="1298"/>
        <w:gridCol w:w="9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trPr>
        <w:tc>
          <w:tcPr>
            <w:tcW w:w="3504" w:type="dxa"/>
            <w:gridSpan w:val="2"/>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10kV</w:t>
            </w:r>
            <w:r>
              <w:rPr>
                <w:rFonts w:hint="eastAsia" w:asciiTheme="minorEastAsia" w:hAnsiTheme="minorEastAsia" w:eastAsiaTheme="minorEastAsia"/>
                <w:color w:val="auto"/>
              </w:rPr>
              <w:t>交联电缆载流量</w:t>
            </w:r>
          </w:p>
        </w:tc>
        <w:tc>
          <w:tcPr>
            <w:tcW w:w="4849" w:type="dxa"/>
            <w:gridSpan w:val="4"/>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电缆允许持续载流量（</w:t>
            </w:r>
            <w:r>
              <w:rPr>
                <w:rFonts w:asciiTheme="minorEastAsia" w:hAnsiTheme="minorEastAsia" w:eastAsiaTheme="minorEastAsia"/>
                <w:color w:val="auto"/>
              </w:rPr>
              <w:t>A</w:t>
            </w:r>
            <w:r>
              <w:rPr>
                <w:rFonts w:hint="eastAsia" w:asciiTheme="minorEastAsia" w:hAnsiTheme="minorEastAsia" w:eastAsiaTheme="minorEastAsia"/>
                <w:color w:val="auto"/>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trPr>
        <w:tc>
          <w:tcPr>
            <w:tcW w:w="3504"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绝缘类型</w:t>
            </w:r>
          </w:p>
        </w:tc>
        <w:tc>
          <w:tcPr>
            <w:tcW w:w="4849" w:type="dxa"/>
            <w:gridSpan w:val="4"/>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交联聚乙烯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trPr>
        <w:tc>
          <w:tcPr>
            <w:tcW w:w="3504"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钢铠护套</w:t>
            </w:r>
          </w:p>
        </w:tc>
        <w:tc>
          <w:tcPr>
            <w:tcW w:w="2586"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无</w:t>
            </w:r>
          </w:p>
        </w:tc>
        <w:tc>
          <w:tcPr>
            <w:tcW w:w="2263"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trPr>
        <w:tc>
          <w:tcPr>
            <w:tcW w:w="3504"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缆芯最高工作温度（℃）</w:t>
            </w:r>
          </w:p>
        </w:tc>
        <w:tc>
          <w:tcPr>
            <w:tcW w:w="4849" w:type="dxa"/>
            <w:gridSpan w:val="4"/>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3504"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敷设方式</w:t>
            </w:r>
          </w:p>
        </w:tc>
        <w:tc>
          <w:tcPr>
            <w:tcW w:w="1483" w:type="dxa"/>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空气中</w:t>
            </w:r>
          </w:p>
        </w:tc>
        <w:tc>
          <w:tcPr>
            <w:tcW w:w="1103" w:type="dxa"/>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直埋</w:t>
            </w:r>
          </w:p>
        </w:tc>
        <w:tc>
          <w:tcPr>
            <w:tcW w:w="1298" w:type="dxa"/>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空气中</w:t>
            </w:r>
          </w:p>
        </w:tc>
        <w:tc>
          <w:tcPr>
            <w:tcW w:w="965" w:type="dxa"/>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直埋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1937" w:type="dxa"/>
            <w:vAlign w:val="center"/>
          </w:tcPr>
          <w:p>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电缆截面</w:t>
            </w:r>
            <w:r>
              <w:rPr>
                <w:rFonts w:asciiTheme="minorEastAsia" w:hAnsiTheme="minorEastAsia"/>
                <w:color w:val="auto"/>
                <w:sz w:val="24"/>
                <w:szCs w:val="24"/>
              </w:rPr>
              <w:t>（</w:t>
            </w:r>
            <w:r>
              <w:rPr>
                <w:rFonts w:hint="eastAsia" w:asciiTheme="minorEastAsia" w:hAnsiTheme="minorEastAsia"/>
                <w:color w:val="auto"/>
                <w:sz w:val="24"/>
                <w:szCs w:val="24"/>
              </w:rPr>
              <w:t>mm</w:t>
            </w:r>
            <w:r>
              <w:rPr>
                <w:rFonts w:hint="eastAsia" w:asciiTheme="minorEastAsia" w:hAnsiTheme="minorEastAsia"/>
                <w:color w:val="auto"/>
                <w:sz w:val="24"/>
                <w:szCs w:val="24"/>
                <w:vertAlign w:val="superscript"/>
              </w:rPr>
              <w:t>2</w:t>
            </w:r>
            <w:r>
              <w:rPr>
                <w:rFonts w:asciiTheme="minorEastAsia" w:hAnsiTheme="minorEastAsia"/>
                <w:color w:val="auto"/>
                <w:sz w:val="24"/>
                <w:szCs w:val="24"/>
              </w:rPr>
              <w:t>）</w:t>
            </w:r>
          </w:p>
        </w:tc>
        <w:tc>
          <w:tcPr>
            <w:tcW w:w="1567" w:type="dxa"/>
            <w:vAlign w:val="center"/>
          </w:tcPr>
          <w:p>
            <w:pPr>
              <w:pStyle w:val="16"/>
              <w:jc w:val="center"/>
              <w:rPr>
                <w:rFonts w:hint="default"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400</w:t>
            </w:r>
          </w:p>
        </w:tc>
        <w:tc>
          <w:tcPr>
            <w:tcW w:w="1483" w:type="dxa"/>
            <w:vAlign w:val="center"/>
          </w:tcPr>
          <w:p>
            <w:pPr>
              <w:pStyle w:val="16"/>
              <w:jc w:val="center"/>
              <w:rPr>
                <w:rFonts w:hint="default"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652</w:t>
            </w:r>
          </w:p>
        </w:tc>
        <w:tc>
          <w:tcPr>
            <w:tcW w:w="1103" w:type="dxa"/>
            <w:vAlign w:val="center"/>
          </w:tcPr>
          <w:p>
            <w:pPr>
              <w:pStyle w:val="16"/>
              <w:jc w:val="center"/>
              <w:rPr>
                <w:rFonts w:hint="default"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487</w:t>
            </w:r>
          </w:p>
        </w:tc>
        <w:tc>
          <w:tcPr>
            <w:tcW w:w="1298" w:type="dxa"/>
            <w:vAlign w:val="center"/>
          </w:tcPr>
          <w:p>
            <w:pPr>
              <w:pStyle w:val="16"/>
              <w:jc w:val="center"/>
              <w:rPr>
                <w:rFonts w:hint="default"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646</w:t>
            </w:r>
          </w:p>
        </w:tc>
        <w:tc>
          <w:tcPr>
            <w:tcW w:w="965" w:type="dxa"/>
            <w:vAlign w:val="center"/>
          </w:tcPr>
          <w:p>
            <w:pPr>
              <w:pStyle w:val="16"/>
              <w:jc w:val="center"/>
              <w:rPr>
                <w:rFonts w:hint="default"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485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3504"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环境温度（℃）</w:t>
            </w:r>
          </w:p>
        </w:tc>
        <w:tc>
          <w:tcPr>
            <w:tcW w:w="1483"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40</w:t>
            </w:r>
          </w:p>
        </w:tc>
        <w:tc>
          <w:tcPr>
            <w:tcW w:w="1103"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25</w:t>
            </w:r>
          </w:p>
        </w:tc>
        <w:tc>
          <w:tcPr>
            <w:tcW w:w="1298"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40</w:t>
            </w:r>
          </w:p>
        </w:tc>
        <w:tc>
          <w:tcPr>
            <w:tcW w:w="965"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2" w:hRule="atLeast"/>
        </w:trPr>
        <w:tc>
          <w:tcPr>
            <w:tcW w:w="3504" w:type="dxa"/>
            <w:gridSpan w:val="2"/>
            <w:vAlign w:val="center"/>
          </w:tcPr>
          <w:p>
            <w:pPr>
              <w:pStyle w:val="16"/>
              <w:jc w:val="center"/>
              <w:rPr>
                <w:rFonts w:asciiTheme="minorEastAsia" w:hAnsiTheme="minorEastAsia" w:eastAsiaTheme="minorEastAsia"/>
                <w:color w:val="auto"/>
              </w:rPr>
            </w:pPr>
            <w:r>
              <w:rPr>
                <w:rFonts w:hint="eastAsia" w:asciiTheme="minorEastAsia" w:hAnsiTheme="minorEastAsia" w:eastAsiaTheme="minorEastAsia"/>
                <w:color w:val="auto"/>
              </w:rPr>
              <w:t>土壤热阻系数（℃•</w:t>
            </w:r>
            <w:r>
              <w:rPr>
                <w:rFonts w:asciiTheme="minorEastAsia" w:hAnsiTheme="minorEastAsia" w:eastAsiaTheme="minorEastAsia"/>
                <w:color w:val="auto"/>
              </w:rPr>
              <w:t>m/W</w:t>
            </w:r>
            <w:r>
              <w:rPr>
                <w:rFonts w:hint="eastAsia" w:asciiTheme="minorEastAsia" w:hAnsiTheme="minorEastAsia" w:eastAsiaTheme="minorEastAsia"/>
                <w:color w:val="auto"/>
              </w:rPr>
              <w:t>）</w:t>
            </w:r>
          </w:p>
        </w:tc>
        <w:tc>
          <w:tcPr>
            <w:tcW w:w="1483"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w:t>
            </w:r>
          </w:p>
        </w:tc>
        <w:tc>
          <w:tcPr>
            <w:tcW w:w="1103"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2.0</w:t>
            </w:r>
          </w:p>
        </w:tc>
        <w:tc>
          <w:tcPr>
            <w:tcW w:w="1298"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w:t>
            </w:r>
          </w:p>
        </w:tc>
        <w:tc>
          <w:tcPr>
            <w:tcW w:w="965" w:type="dxa"/>
            <w:vAlign w:val="center"/>
          </w:tcPr>
          <w:p>
            <w:pPr>
              <w:pStyle w:val="16"/>
              <w:jc w:val="center"/>
              <w:rPr>
                <w:rFonts w:asciiTheme="minorEastAsia" w:hAnsiTheme="minorEastAsia" w:eastAsiaTheme="minorEastAsia"/>
                <w:color w:val="auto"/>
              </w:rPr>
            </w:pPr>
            <w:r>
              <w:rPr>
                <w:rFonts w:asciiTheme="minorEastAsia" w:hAnsiTheme="minorEastAsia" w:eastAsiaTheme="minorEastAsia"/>
                <w:color w:val="auto"/>
              </w:rPr>
              <w:t>2.0</w:t>
            </w:r>
          </w:p>
        </w:tc>
      </w:tr>
    </w:tbl>
    <w:p>
      <w:pPr>
        <w:spacing w:before="240"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11.1-</w:t>
      </w:r>
      <w:r>
        <w:rPr>
          <w:rFonts w:hint="eastAsia" w:asciiTheme="minorEastAsia" w:hAnsiTheme="minorEastAsia"/>
          <w:sz w:val="24"/>
          <w:szCs w:val="24"/>
          <w:lang w:val="en-US" w:eastAsia="zh-CN"/>
        </w:rPr>
        <w:t>8</w:t>
      </w:r>
      <w:r>
        <w:rPr>
          <w:rFonts w:asciiTheme="minorEastAsia" w:hAnsiTheme="minorEastAsia"/>
          <w:sz w:val="24"/>
          <w:szCs w:val="24"/>
        </w:rPr>
        <w:t xml:space="preserve"> 10kV</w:t>
      </w:r>
      <w:r>
        <w:rPr>
          <w:rFonts w:hint="eastAsia" w:asciiTheme="minorEastAsia" w:hAnsiTheme="minorEastAsia"/>
          <w:sz w:val="24"/>
          <w:szCs w:val="24"/>
        </w:rPr>
        <w:t>电缆在不同环境温度时的载流量校正系数</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04"/>
        <w:gridCol w:w="1004"/>
        <w:gridCol w:w="1003"/>
        <w:gridCol w:w="983"/>
        <w:gridCol w:w="1003"/>
        <w:gridCol w:w="1003"/>
        <w:gridCol w:w="576"/>
        <w:gridCol w:w="696"/>
        <w:gridCol w:w="10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Merge w:val="restart"/>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缆芯最高工作温度（℃</w:t>
            </w:r>
          </w:p>
        </w:tc>
        <w:tc>
          <w:tcPr>
            <w:tcW w:w="7272" w:type="dxa"/>
            <w:gridSpan w:val="8"/>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环境温度（℃）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Merge w:val="continue"/>
            <w:vAlign w:val="center"/>
          </w:tcPr>
          <w:p>
            <w:pPr>
              <w:spacing w:line="360" w:lineRule="auto"/>
              <w:jc w:val="center"/>
              <w:rPr>
                <w:rFonts w:asciiTheme="minorEastAsia" w:hAnsiTheme="minorEastAsia"/>
                <w:sz w:val="24"/>
                <w:szCs w:val="24"/>
              </w:rPr>
            </w:pPr>
          </w:p>
        </w:tc>
        <w:tc>
          <w:tcPr>
            <w:tcW w:w="3993" w:type="dxa"/>
            <w:gridSpan w:val="4"/>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空气中</w:t>
            </w:r>
          </w:p>
        </w:tc>
        <w:tc>
          <w:tcPr>
            <w:tcW w:w="3279" w:type="dxa"/>
            <w:gridSpan w:val="4"/>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土壤中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Merge w:val="continue"/>
            <w:vAlign w:val="center"/>
          </w:tcPr>
          <w:p>
            <w:pPr>
              <w:spacing w:line="360" w:lineRule="auto"/>
              <w:jc w:val="center"/>
              <w:rPr>
                <w:rFonts w:asciiTheme="minorEastAsia" w:hAnsiTheme="minorEastAsia"/>
                <w:sz w:val="24"/>
                <w:szCs w:val="24"/>
              </w:rPr>
            </w:pP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30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35</w:t>
            </w:r>
          </w:p>
        </w:tc>
        <w:tc>
          <w:tcPr>
            <w:tcW w:w="983" w:type="dxa"/>
            <w:vAlign w:val="center"/>
          </w:tcPr>
          <w:p>
            <w:pPr>
              <w:pStyle w:val="16"/>
              <w:jc w:val="center"/>
              <w:rPr>
                <w:rFonts w:asciiTheme="minorEastAsia" w:hAnsiTheme="minorEastAsia" w:eastAsiaTheme="minorEastAsia"/>
              </w:rPr>
            </w:pPr>
            <w:r>
              <w:rPr>
                <w:rFonts w:asciiTheme="minorEastAsia" w:hAnsiTheme="minorEastAsia" w:eastAsiaTheme="minorEastAsia"/>
              </w:rPr>
              <w:t>40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45</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20</w:t>
            </w:r>
          </w:p>
        </w:tc>
        <w:tc>
          <w:tcPr>
            <w:tcW w:w="576" w:type="dxa"/>
            <w:vAlign w:val="center"/>
          </w:tcPr>
          <w:p>
            <w:pPr>
              <w:pStyle w:val="16"/>
              <w:jc w:val="center"/>
              <w:rPr>
                <w:rFonts w:asciiTheme="minorEastAsia" w:hAnsiTheme="minorEastAsia" w:eastAsiaTheme="minorEastAsia"/>
              </w:rPr>
            </w:pPr>
            <w:r>
              <w:rPr>
                <w:rFonts w:asciiTheme="minorEastAsia" w:hAnsiTheme="minorEastAsia" w:eastAsiaTheme="minorEastAsia"/>
              </w:rPr>
              <w:t>25</w:t>
            </w:r>
          </w:p>
        </w:tc>
        <w:tc>
          <w:tcPr>
            <w:tcW w:w="696" w:type="dxa"/>
            <w:vAlign w:val="center"/>
          </w:tcPr>
          <w:p>
            <w:pPr>
              <w:pStyle w:val="16"/>
              <w:jc w:val="center"/>
              <w:rPr>
                <w:rFonts w:asciiTheme="minorEastAsia" w:hAnsiTheme="minorEastAsia" w:eastAsiaTheme="minorEastAsia"/>
              </w:rPr>
            </w:pPr>
            <w:r>
              <w:rPr>
                <w:rFonts w:asciiTheme="minorEastAsia" w:hAnsiTheme="minorEastAsia" w:eastAsiaTheme="minorEastAsia"/>
              </w:rPr>
              <w:t>30</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60</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1.22</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1.11</w:t>
            </w:r>
          </w:p>
        </w:tc>
        <w:tc>
          <w:tcPr>
            <w:tcW w:w="983"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0.86</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1.07</w:t>
            </w:r>
          </w:p>
        </w:tc>
        <w:tc>
          <w:tcPr>
            <w:tcW w:w="576"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696" w:type="dxa"/>
            <w:vAlign w:val="center"/>
          </w:tcPr>
          <w:p>
            <w:pPr>
              <w:pStyle w:val="16"/>
              <w:jc w:val="center"/>
              <w:rPr>
                <w:rFonts w:asciiTheme="minorEastAsia" w:hAnsiTheme="minorEastAsia" w:eastAsiaTheme="minorEastAsia"/>
              </w:rPr>
            </w:pPr>
            <w:r>
              <w:rPr>
                <w:rFonts w:asciiTheme="minorEastAsia" w:hAnsiTheme="minorEastAsia" w:eastAsiaTheme="minorEastAsia"/>
              </w:rPr>
              <w:t>0.93</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0.85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65</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1.18</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1.09</w:t>
            </w:r>
          </w:p>
        </w:tc>
        <w:tc>
          <w:tcPr>
            <w:tcW w:w="983"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0.89</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1.06</w:t>
            </w:r>
          </w:p>
        </w:tc>
        <w:tc>
          <w:tcPr>
            <w:tcW w:w="576"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696" w:type="dxa"/>
            <w:vAlign w:val="center"/>
          </w:tcPr>
          <w:p>
            <w:pPr>
              <w:pStyle w:val="16"/>
              <w:jc w:val="center"/>
              <w:rPr>
                <w:rFonts w:asciiTheme="minorEastAsia" w:hAnsiTheme="minorEastAsia" w:eastAsiaTheme="minorEastAsia"/>
              </w:rPr>
            </w:pPr>
            <w:r>
              <w:rPr>
                <w:rFonts w:asciiTheme="minorEastAsia" w:hAnsiTheme="minorEastAsia" w:eastAsiaTheme="minorEastAsia"/>
              </w:rPr>
              <w:t>0.94</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0.87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70</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1.15</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1.08</w:t>
            </w:r>
          </w:p>
        </w:tc>
        <w:tc>
          <w:tcPr>
            <w:tcW w:w="983"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0.91</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1.05</w:t>
            </w:r>
          </w:p>
        </w:tc>
        <w:tc>
          <w:tcPr>
            <w:tcW w:w="576"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696" w:type="dxa"/>
            <w:vAlign w:val="center"/>
          </w:tcPr>
          <w:p>
            <w:pPr>
              <w:pStyle w:val="16"/>
              <w:jc w:val="center"/>
              <w:rPr>
                <w:rFonts w:asciiTheme="minorEastAsia" w:hAnsiTheme="minorEastAsia" w:eastAsiaTheme="minorEastAsia"/>
              </w:rPr>
            </w:pPr>
            <w:r>
              <w:rPr>
                <w:rFonts w:asciiTheme="minorEastAsia" w:hAnsiTheme="minorEastAsia" w:eastAsiaTheme="minorEastAsia"/>
              </w:rPr>
              <w:t>0.94</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0.88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80</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1.11</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1.06</w:t>
            </w:r>
          </w:p>
        </w:tc>
        <w:tc>
          <w:tcPr>
            <w:tcW w:w="983"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0.93</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1.04</w:t>
            </w:r>
          </w:p>
        </w:tc>
        <w:tc>
          <w:tcPr>
            <w:tcW w:w="576"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696" w:type="dxa"/>
            <w:vAlign w:val="center"/>
          </w:tcPr>
          <w:p>
            <w:pPr>
              <w:pStyle w:val="16"/>
              <w:jc w:val="center"/>
              <w:rPr>
                <w:rFonts w:asciiTheme="minorEastAsia" w:hAnsiTheme="minorEastAsia" w:eastAsiaTheme="minorEastAsia"/>
              </w:rPr>
            </w:pPr>
            <w:r>
              <w:rPr>
                <w:rFonts w:asciiTheme="minorEastAsia" w:hAnsiTheme="minorEastAsia" w:eastAsiaTheme="minorEastAsia"/>
              </w:rPr>
              <w:t>0.95</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0.90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90</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1.09</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1.05</w:t>
            </w:r>
          </w:p>
        </w:tc>
        <w:tc>
          <w:tcPr>
            <w:tcW w:w="983"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0.94</w:t>
            </w:r>
          </w:p>
        </w:tc>
        <w:tc>
          <w:tcPr>
            <w:tcW w:w="1003" w:type="dxa"/>
            <w:vAlign w:val="center"/>
          </w:tcPr>
          <w:p>
            <w:pPr>
              <w:pStyle w:val="16"/>
              <w:jc w:val="center"/>
              <w:rPr>
                <w:rFonts w:asciiTheme="minorEastAsia" w:hAnsiTheme="minorEastAsia" w:eastAsiaTheme="minorEastAsia"/>
              </w:rPr>
            </w:pPr>
            <w:r>
              <w:rPr>
                <w:rFonts w:asciiTheme="minorEastAsia" w:hAnsiTheme="minorEastAsia" w:eastAsiaTheme="minorEastAsia"/>
              </w:rPr>
              <w:t>1.04</w:t>
            </w:r>
          </w:p>
        </w:tc>
        <w:tc>
          <w:tcPr>
            <w:tcW w:w="576" w:type="dxa"/>
            <w:vAlign w:val="center"/>
          </w:tcPr>
          <w:p>
            <w:pPr>
              <w:pStyle w:val="16"/>
              <w:jc w:val="center"/>
              <w:rPr>
                <w:rFonts w:asciiTheme="minorEastAsia" w:hAnsiTheme="minorEastAsia" w:eastAsiaTheme="minorEastAsia"/>
              </w:rPr>
            </w:pPr>
            <w:r>
              <w:rPr>
                <w:rFonts w:asciiTheme="minorEastAsia" w:hAnsiTheme="minorEastAsia" w:eastAsiaTheme="minorEastAsia"/>
              </w:rPr>
              <w:t>1.0</w:t>
            </w:r>
          </w:p>
        </w:tc>
        <w:tc>
          <w:tcPr>
            <w:tcW w:w="696" w:type="dxa"/>
            <w:vAlign w:val="center"/>
          </w:tcPr>
          <w:p>
            <w:pPr>
              <w:pStyle w:val="16"/>
              <w:jc w:val="center"/>
              <w:rPr>
                <w:rFonts w:asciiTheme="minorEastAsia" w:hAnsiTheme="minorEastAsia" w:eastAsiaTheme="minorEastAsia"/>
              </w:rPr>
            </w:pPr>
            <w:r>
              <w:rPr>
                <w:rFonts w:asciiTheme="minorEastAsia" w:hAnsiTheme="minorEastAsia" w:eastAsiaTheme="minorEastAsia"/>
              </w:rPr>
              <w:t>0.96</w:t>
            </w:r>
          </w:p>
        </w:tc>
        <w:tc>
          <w:tcPr>
            <w:tcW w:w="1004" w:type="dxa"/>
            <w:vAlign w:val="center"/>
          </w:tcPr>
          <w:p>
            <w:pPr>
              <w:pStyle w:val="16"/>
              <w:jc w:val="center"/>
              <w:rPr>
                <w:rFonts w:asciiTheme="minorEastAsia" w:hAnsiTheme="minorEastAsia" w:eastAsiaTheme="minorEastAsia"/>
              </w:rPr>
            </w:pPr>
            <w:r>
              <w:rPr>
                <w:rFonts w:asciiTheme="minorEastAsia" w:hAnsiTheme="minorEastAsia" w:eastAsiaTheme="minorEastAsia"/>
              </w:rPr>
              <w:t>0.92</w:t>
            </w:r>
          </w:p>
        </w:tc>
      </w:tr>
    </w:tbl>
    <w:p>
      <w:pPr>
        <w:spacing w:before="240"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11.1-</w:t>
      </w:r>
      <w:r>
        <w:rPr>
          <w:rFonts w:hint="eastAsia" w:asciiTheme="minorEastAsia" w:hAnsiTheme="minorEastAsia"/>
          <w:sz w:val="24"/>
          <w:szCs w:val="24"/>
          <w:lang w:val="en-US" w:eastAsia="zh-CN"/>
        </w:rPr>
        <w:t>9</w:t>
      </w:r>
      <w:r>
        <w:rPr>
          <w:rFonts w:hint="eastAsia" w:asciiTheme="minorEastAsia" w:hAnsiTheme="minorEastAsia"/>
          <w:sz w:val="24"/>
          <w:szCs w:val="24"/>
        </w:rPr>
        <w:t>不同土壤热阻系数时</w:t>
      </w:r>
      <w:r>
        <w:rPr>
          <w:rFonts w:asciiTheme="minorEastAsia" w:hAnsiTheme="minorEastAsia"/>
          <w:sz w:val="24"/>
          <w:szCs w:val="24"/>
        </w:rPr>
        <w:t>10kV</w:t>
      </w:r>
      <w:r>
        <w:rPr>
          <w:rFonts w:hint="eastAsia" w:asciiTheme="minorEastAsia" w:hAnsiTheme="minorEastAsia"/>
          <w:sz w:val="24"/>
          <w:szCs w:val="24"/>
        </w:rPr>
        <w:t>电缆载流量的校正系数</w:t>
      </w:r>
    </w:p>
    <w:tbl>
      <w:tblPr>
        <w:tblStyle w:val="12"/>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952"/>
        <w:gridCol w:w="3696"/>
        <w:gridCol w:w="22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6" w:hRule="atLeast"/>
          <w:jc w:val="center"/>
        </w:trPr>
        <w:tc>
          <w:tcPr>
            <w:tcW w:w="2952" w:type="dxa"/>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土壤热阻系数（℃•</w:t>
            </w:r>
            <w:r>
              <w:rPr>
                <w:rFonts w:asciiTheme="minorEastAsia" w:hAnsiTheme="minorEastAsia" w:eastAsiaTheme="minorEastAsia"/>
              </w:rPr>
              <w:t>m/W</w:t>
            </w:r>
            <w:r>
              <w:rPr>
                <w:rFonts w:hint="eastAsia" w:asciiTheme="minorEastAsia" w:hAnsiTheme="minorEastAsia" w:eastAsiaTheme="minorEastAsia"/>
              </w:rPr>
              <w:t>）</w:t>
            </w:r>
          </w:p>
        </w:tc>
        <w:tc>
          <w:tcPr>
            <w:tcW w:w="3696"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分类特征（土壤特性和雨量）</w:t>
            </w:r>
          </w:p>
        </w:tc>
        <w:tc>
          <w:tcPr>
            <w:tcW w:w="2208"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校正系数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2952"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0.8</w:t>
            </w:r>
          </w:p>
        </w:tc>
        <w:tc>
          <w:tcPr>
            <w:tcW w:w="3696"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土壤很潮湿，经常下雨。如湿度大于</w:t>
            </w:r>
            <w:r>
              <w:rPr>
                <w:rFonts w:cs="宋体" w:asciiTheme="minorEastAsia" w:hAnsiTheme="minorEastAsia"/>
                <w:color w:val="000000"/>
                <w:kern w:val="0"/>
                <w:sz w:val="24"/>
                <w:szCs w:val="24"/>
              </w:rPr>
              <w:t>9</w:t>
            </w:r>
            <w:r>
              <w:rPr>
                <w:rFonts w:hint="eastAsia" w:cs="宋体" w:asciiTheme="minorEastAsia" w:hAnsiTheme="minorEastAsia"/>
                <w:color w:val="000000"/>
                <w:kern w:val="0"/>
                <w:sz w:val="24"/>
                <w:szCs w:val="24"/>
              </w:rPr>
              <w:t>％的沙土；湿度大于</w:t>
            </w:r>
            <w:r>
              <w:rPr>
                <w:rFonts w:cs="宋体" w:asciiTheme="minorEastAsia" w:hAnsiTheme="minorEastAsia"/>
                <w:color w:val="000000"/>
                <w:kern w:val="0"/>
                <w:sz w:val="24"/>
                <w:szCs w:val="24"/>
              </w:rPr>
              <w:t>10</w:t>
            </w:r>
            <w:r>
              <w:rPr>
                <w:rFonts w:hint="eastAsia" w:cs="宋体" w:asciiTheme="minorEastAsia" w:hAnsiTheme="minorEastAsia"/>
                <w:color w:val="000000"/>
                <w:kern w:val="0"/>
                <w:sz w:val="24"/>
                <w:szCs w:val="24"/>
              </w:rPr>
              <w:t>％的沙</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泥土等</w:t>
            </w:r>
          </w:p>
        </w:tc>
        <w:tc>
          <w:tcPr>
            <w:tcW w:w="2208"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1.05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2952"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1.2</w:t>
            </w:r>
          </w:p>
        </w:tc>
        <w:tc>
          <w:tcPr>
            <w:tcW w:w="3696" w:type="dxa"/>
            <w:vAlign w:val="center"/>
          </w:tcPr>
          <w:p>
            <w:pPr>
              <w:autoSpaceDE w:val="0"/>
              <w:autoSpaceDN w:val="0"/>
              <w:adjustRightInd w:val="0"/>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土壤潮湿，规律性下雨。如湿度大于</w:t>
            </w:r>
            <w:r>
              <w:rPr>
                <w:rFonts w:cs="宋体" w:asciiTheme="minorEastAsia" w:hAnsiTheme="minorEastAsia"/>
                <w:color w:val="000000"/>
                <w:kern w:val="0"/>
                <w:sz w:val="24"/>
                <w:szCs w:val="24"/>
              </w:rPr>
              <w:t>7</w:t>
            </w:r>
            <w:r>
              <w:rPr>
                <w:rFonts w:hint="eastAsia" w:cs="宋体" w:asciiTheme="minorEastAsia" w:hAnsiTheme="minorEastAsia"/>
                <w:color w:val="000000"/>
                <w:kern w:val="0"/>
                <w:sz w:val="24"/>
                <w:szCs w:val="24"/>
              </w:rPr>
              <w:t>％但小于</w:t>
            </w:r>
            <w:r>
              <w:rPr>
                <w:rFonts w:cs="宋体" w:asciiTheme="minorEastAsia" w:hAnsiTheme="minorEastAsia"/>
                <w:color w:val="000000"/>
                <w:kern w:val="0"/>
                <w:sz w:val="24"/>
                <w:szCs w:val="24"/>
              </w:rPr>
              <w:t>9</w:t>
            </w:r>
            <w:r>
              <w:rPr>
                <w:rFonts w:hint="eastAsia" w:cs="宋体" w:asciiTheme="minorEastAsia" w:hAnsiTheme="minorEastAsia"/>
                <w:color w:val="000000"/>
                <w:kern w:val="0"/>
                <w:sz w:val="24"/>
                <w:szCs w:val="24"/>
              </w:rPr>
              <w:t>％的沙土；湿度为</w:t>
            </w:r>
            <w:r>
              <w:rPr>
                <w:rFonts w:cs="宋体" w:asciiTheme="minorEastAsia" w:hAnsiTheme="minorEastAsia"/>
                <w:color w:val="000000"/>
                <w:kern w:val="0"/>
                <w:sz w:val="24"/>
                <w:szCs w:val="24"/>
              </w:rPr>
              <w:t>12</w:t>
            </w:r>
            <w:r>
              <w:rPr>
                <w:rFonts w:hint="eastAsia" w:cs="宋体" w:asciiTheme="minorEastAsia" w:hAnsiTheme="minorEastAsia"/>
                <w:color w:val="000000"/>
                <w:kern w:val="0"/>
                <w:sz w:val="24"/>
                <w:szCs w:val="24"/>
              </w:rPr>
              <w:t>％～</w:t>
            </w:r>
            <w:r>
              <w:rPr>
                <w:rFonts w:cs="宋体" w:asciiTheme="minorEastAsia" w:hAnsiTheme="minorEastAsia"/>
                <w:color w:val="000000"/>
                <w:kern w:val="0"/>
                <w:sz w:val="24"/>
                <w:szCs w:val="24"/>
              </w:rPr>
              <w:t>14</w:t>
            </w:r>
            <w:r>
              <w:rPr>
                <w:rFonts w:hint="eastAsia" w:cs="宋体" w:asciiTheme="minorEastAsia" w:hAnsiTheme="minorEastAsia"/>
                <w:color w:val="000000"/>
                <w:kern w:val="0"/>
                <w:sz w:val="24"/>
                <w:szCs w:val="24"/>
              </w:rPr>
              <w:t>％的沙</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泥土等</w:t>
            </w:r>
          </w:p>
        </w:tc>
        <w:tc>
          <w:tcPr>
            <w:tcW w:w="2208"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2952" w:type="dxa"/>
            <w:vAlign w:val="center"/>
          </w:tcPr>
          <w:p>
            <w:pPr>
              <w:pStyle w:val="16"/>
              <w:jc w:val="center"/>
              <w:rPr>
                <w:rFonts w:asciiTheme="minorEastAsia" w:hAnsiTheme="minorEastAsia" w:eastAsiaTheme="minorEastAsia"/>
              </w:rPr>
            </w:pPr>
            <w:r>
              <w:rPr>
                <w:rFonts w:asciiTheme="minorEastAsia" w:hAnsiTheme="minorEastAsia" w:eastAsiaTheme="minorEastAsia"/>
              </w:rPr>
              <w:t>1.5</w:t>
            </w:r>
          </w:p>
        </w:tc>
        <w:tc>
          <w:tcPr>
            <w:tcW w:w="3696" w:type="dxa"/>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土壤较干燥，雨量不大。如湿度为</w:t>
            </w:r>
            <w:r>
              <w:rPr>
                <w:rFonts w:asciiTheme="minorEastAsia" w:hAnsiTheme="minorEastAsia" w:eastAsiaTheme="minorEastAsia"/>
              </w:rPr>
              <w:t>8</w:t>
            </w:r>
            <w:r>
              <w:rPr>
                <w:rFonts w:hint="eastAsia" w:asciiTheme="minorEastAsia" w:hAnsiTheme="minorEastAsia" w:eastAsiaTheme="minorEastAsia"/>
              </w:rPr>
              <w:t>％～</w:t>
            </w:r>
            <w:r>
              <w:rPr>
                <w:rFonts w:asciiTheme="minorEastAsia" w:hAnsiTheme="minorEastAsia" w:eastAsiaTheme="minorEastAsia"/>
              </w:rPr>
              <w:t>12</w:t>
            </w:r>
            <w:r>
              <w:rPr>
                <w:rFonts w:hint="eastAsia" w:asciiTheme="minorEastAsia" w:hAnsiTheme="minorEastAsia" w:eastAsiaTheme="minorEastAsia"/>
              </w:rPr>
              <w:t>％的沙</w:t>
            </w:r>
            <w:r>
              <w:rPr>
                <w:rFonts w:asciiTheme="minorEastAsia" w:hAnsiTheme="minorEastAsia" w:eastAsiaTheme="minorEastAsia"/>
              </w:rPr>
              <w:t>—</w:t>
            </w:r>
            <w:r>
              <w:rPr>
                <w:rFonts w:hint="eastAsia" w:asciiTheme="minorEastAsia" w:hAnsiTheme="minorEastAsia" w:eastAsiaTheme="minorEastAsia"/>
              </w:rPr>
              <w:t>泥土等</w:t>
            </w:r>
          </w:p>
        </w:tc>
        <w:tc>
          <w:tcPr>
            <w:tcW w:w="2208" w:type="dxa"/>
            <w:vAlign w:val="center"/>
          </w:tcPr>
          <w:p>
            <w:pPr>
              <w:pStyle w:val="16"/>
              <w:jc w:val="center"/>
              <w:rPr>
                <w:rFonts w:asciiTheme="minorEastAsia" w:hAnsiTheme="minorEastAsia" w:eastAsiaTheme="minorEastAsia"/>
              </w:rPr>
            </w:pPr>
            <w:r>
              <w:rPr>
                <w:rFonts w:asciiTheme="minorEastAsia" w:hAnsiTheme="minorEastAsia" w:eastAsiaTheme="minorEastAsia"/>
              </w:rPr>
              <w:t>0.93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2952" w:type="dxa"/>
            <w:vAlign w:val="center"/>
          </w:tcPr>
          <w:p>
            <w:pPr>
              <w:pStyle w:val="16"/>
              <w:jc w:val="center"/>
              <w:rPr>
                <w:rFonts w:asciiTheme="minorEastAsia" w:hAnsiTheme="minorEastAsia" w:eastAsiaTheme="minorEastAsia"/>
              </w:rPr>
            </w:pPr>
            <w:r>
              <w:rPr>
                <w:rFonts w:asciiTheme="minorEastAsia" w:hAnsiTheme="minorEastAsia" w:eastAsiaTheme="minorEastAsia"/>
              </w:rPr>
              <w:t>2.0</w:t>
            </w:r>
          </w:p>
        </w:tc>
        <w:tc>
          <w:tcPr>
            <w:tcW w:w="3696" w:type="dxa"/>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土壤干燥，少雨。如湿度大于</w:t>
            </w:r>
            <w:r>
              <w:rPr>
                <w:rFonts w:asciiTheme="minorEastAsia" w:hAnsiTheme="minorEastAsia" w:eastAsiaTheme="minorEastAsia"/>
              </w:rPr>
              <w:t>4</w:t>
            </w:r>
            <w:r>
              <w:rPr>
                <w:rFonts w:hint="eastAsia" w:asciiTheme="minorEastAsia" w:hAnsiTheme="minorEastAsia" w:eastAsiaTheme="minorEastAsia"/>
              </w:rPr>
              <w:t>％但小于</w:t>
            </w:r>
            <w:r>
              <w:rPr>
                <w:rFonts w:asciiTheme="minorEastAsia" w:hAnsiTheme="minorEastAsia" w:eastAsiaTheme="minorEastAsia"/>
              </w:rPr>
              <w:t>7</w:t>
            </w:r>
            <w:r>
              <w:rPr>
                <w:rFonts w:hint="eastAsia" w:asciiTheme="minorEastAsia" w:hAnsiTheme="minorEastAsia" w:eastAsiaTheme="minorEastAsia"/>
              </w:rPr>
              <w:t>％的沙土；湿度为</w:t>
            </w:r>
            <w:r>
              <w:rPr>
                <w:rFonts w:asciiTheme="minorEastAsia" w:hAnsiTheme="minorEastAsia" w:eastAsiaTheme="minorEastAsia"/>
              </w:rPr>
              <w:t>4</w:t>
            </w:r>
            <w:r>
              <w:rPr>
                <w:rFonts w:hint="eastAsia" w:asciiTheme="minorEastAsia" w:hAnsiTheme="minorEastAsia" w:eastAsiaTheme="minorEastAsia"/>
              </w:rPr>
              <w:t>％～</w:t>
            </w:r>
            <w:r>
              <w:rPr>
                <w:rFonts w:asciiTheme="minorEastAsia" w:hAnsiTheme="minorEastAsia" w:eastAsiaTheme="minorEastAsia"/>
              </w:rPr>
              <w:t>8</w:t>
            </w:r>
            <w:r>
              <w:rPr>
                <w:rFonts w:hint="eastAsia" w:asciiTheme="minorEastAsia" w:hAnsiTheme="minorEastAsia" w:eastAsiaTheme="minorEastAsia"/>
              </w:rPr>
              <w:t>％的沙</w:t>
            </w:r>
            <w:r>
              <w:rPr>
                <w:rFonts w:asciiTheme="minorEastAsia" w:hAnsiTheme="minorEastAsia" w:eastAsiaTheme="minorEastAsia"/>
              </w:rPr>
              <w:t>—</w:t>
            </w:r>
            <w:r>
              <w:rPr>
                <w:rFonts w:hint="eastAsia" w:asciiTheme="minorEastAsia" w:hAnsiTheme="minorEastAsia" w:eastAsiaTheme="minorEastAsia"/>
              </w:rPr>
              <w:t>泥土等</w:t>
            </w:r>
          </w:p>
        </w:tc>
        <w:tc>
          <w:tcPr>
            <w:tcW w:w="2208" w:type="dxa"/>
            <w:vAlign w:val="center"/>
          </w:tcPr>
          <w:p>
            <w:pPr>
              <w:pStyle w:val="16"/>
              <w:jc w:val="center"/>
              <w:rPr>
                <w:rFonts w:asciiTheme="minorEastAsia" w:hAnsiTheme="minorEastAsia" w:eastAsiaTheme="minorEastAsia"/>
              </w:rPr>
            </w:pPr>
            <w:r>
              <w:rPr>
                <w:rFonts w:asciiTheme="minorEastAsia" w:hAnsiTheme="minorEastAsia" w:eastAsiaTheme="minorEastAsia"/>
              </w:rPr>
              <w:t>0.87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2952" w:type="dxa"/>
            <w:vAlign w:val="center"/>
          </w:tcPr>
          <w:p>
            <w:pPr>
              <w:pStyle w:val="16"/>
              <w:jc w:val="center"/>
              <w:rPr>
                <w:rFonts w:asciiTheme="minorEastAsia" w:hAnsiTheme="minorEastAsia" w:eastAsiaTheme="minorEastAsia"/>
              </w:rPr>
            </w:pPr>
            <w:r>
              <w:rPr>
                <w:rFonts w:asciiTheme="minorEastAsia" w:hAnsiTheme="minorEastAsia" w:eastAsiaTheme="minorEastAsia"/>
              </w:rPr>
              <w:t>3.0</w:t>
            </w:r>
          </w:p>
        </w:tc>
        <w:tc>
          <w:tcPr>
            <w:tcW w:w="3696" w:type="dxa"/>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多石地层，非常干燥。如湿度小于</w:t>
            </w:r>
            <w:r>
              <w:rPr>
                <w:rFonts w:asciiTheme="minorEastAsia" w:hAnsiTheme="minorEastAsia" w:eastAsiaTheme="minorEastAsia"/>
              </w:rPr>
              <w:t>4</w:t>
            </w:r>
            <w:r>
              <w:rPr>
                <w:rFonts w:hint="eastAsia" w:asciiTheme="minorEastAsia" w:hAnsiTheme="minorEastAsia" w:eastAsiaTheme="minorEastAsia"/>
              </w:rPr>
              <w:t>％的沙土等</w:t>
            </w:r>
          </w:p>
        </w:tc>
        <w:tc>
          <w:tcPr>
            <w:tcW w:w="2208" w:type="dxa"/>
            <w:vAlign w:val="center"/>
          </w:tcPr>
          <w:p>
            <w:pPr>
              <w:pStyle w:val="16"/>
              <w:jc w:val="center"/>
              <w:rPr>
                <w:rFonts w:asciiTheme="minorEastAsia" w:hAnsiTheme="minorEastAsia" w:eastAsiaTheme="minorEastAsia"/>
              </w:rPr>
            </w:pPr>
            <w:r>
              <w:rPr>
                <w:rFonts w:asciiTheme="minorEastAsia" w:hAnsiTheme="minorEastAsia" w:eastAsiaTheme="minorEastAsia"/>
              </w:rPr>
              <w:t>0.75</w:t>
            </w:r>
          </w:p>
        </w:tc>
      </w:tr>
    </w:tbl>
    <w:p>
      <w:pPr>
        <w:spacing w:line="360" w:lineRule="auto"/>
        <w:outlineLvl w:val="1"/>
        <w:rPr>
          <w:rFonts w:hint="eastAsia" w:ascii="宋体" w:eastAsia="宋体" w:cs="宋体"/>
          <w:b/>
          <w:kern w:val="0"/>
          <w:sz w:val="24"/>
          <w:szCs w:val="24"/>
        </w:rPr>
      </w:pPr>
      <w:bookmarkStart w:id="33" w:name="_Toc490754498"/>
    </w:p>
    <w:p>
      <w:pPr>
        <w:spacing w:line="360" w:lineRule="auto"/>
        <w:outlineLvl w:val="1"/>
        <w:rPr>
          <w:rFonts w:ascii="宋体" w:eastAsia="宋体" w:cs="宋体"/>
          <w:b/>
          <w:kern w:val="0"/>
          <w:sz w:val="24"/>
          <w:szCs w:val="24"/>
        </w:rPr>
      </w:pPr>
      <w:r>
        <w:rPr>
          <w:rFonts w:hint="eastAsia" w:ascii="宋体" w:eastAsia="宋体" w:cs="宋体"/>
          <w:b/>
          <w:kern w:val="0"/>
          <w:sz w:val="24"/>
          <w:szCs w:val="24"/>
        </w:rPr>
        <w:t>11.2电缆附件选择</w:t>
      </w:r>
      <w:bookmarkEnd w:id="33"/>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1）电缆附件的绝缘屏蔽层或金属护套之间的额定工频电压（U0）、任何两相线之间的额定工频电压（U）、任何两相线之间的运行最高电压（Um），以及每一导体与绝缘屏蔽层或金属护套之间的基准绝缘水平（BIL），应满足表</w:t>
      </w:r>
      <w:r>
        <w:rPr>
          <w:rFonts w:asciiTheme="minorEastAsia" w:hAnsiTheme="minorEastAsia"/>
          <w:sz w:val="24"/>
          <w:szCs w:val="24"/>
        </w:rPr>
        <w:t>11.2</w:t>
      </w:r>
      <w:r>
        <w:rPr>
          <w:rFonts w:hint="eastAsia" w:asciiTheme="minorEastAsia" w:hAnsiTheme="minorEastAsia"/>
          <w:sz w:val="24"/>
          <w:szCs w:val="24"/>
        </w:rPr>
        <w:t>-1要求。</w:t>
      </w:r>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11.2</w:t>
      </w:r>
      <w:r>
        <w:rPr>
          <w:rFonts w:hint="eastAsia" w:asciiTheme="minorEastAsia" w:hAnsiTheme="minorEastAsia"/>
          <w:sz w:val="24"/>
          <w:szCs w:val="24"/>
        </w:rPr>
        <w:t>-</w:t>
      </w:r>
      <w:r>
        <w:rPr>
          <w:rFonts w:asciiTheme="minorEastAsia" w:hAnsiTheme="minorEastAsia"/>
          <w:sz w:val="24"/>
          <w:szCs w:val="24"/>
        </w:rPr>
        <w:t>1</w:t>
      </w:r>
      <w:r>
        <w:rPr>
          <w:rFonts w:hint="eastAsia" w:asciiTheme="minorEastAsia" w:hAnsiTheme="minorEastAsia"/>
          <w:sz w:val="24"/>
          <w:szCs w:val="24"/>
        </w:rPr>
        <w:t>电缆绝缘水平表</w:t>
      </w:r>
    </w:p>
    <w:tbl>
      <w:tblPr>
        <w:tblStyle w:val="12"/>
        <w:tblW w:w="88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944"/>
        <w:gridCol w:w="2944"/>
        <w:gridCol w:w="29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6" w:hRule="atLeast"/>
          <w:jc w:val="center"/>
        </w:trPr>
        <w:tc>
          <w:tcPr>
            <w:tcW w:w="2944" w:type="dxa"/>
            <w:vMerge w:val="restart"/>
            <w:vAlign w:val="center"/>
          </w:tcPr>
          <w:p>
            <w:pPr>
              <w:spacing w:line="360" w:lineRule="auto"/>
              <w:ind w:firstLine="16" w:firstLineChars="7"/>
              <w:jc w:val="center"/>
              <w:rPr>
                <w:rFonts w:asciiTheme="minorEastAsia" w:hAnsiTheme="minorEastAsia"/>
                <w:sz w:val="24"/>
                <w:szCs w:val="24"/>
              </w:rPr>
            </w:pPr>
            <w:r>
              <w:rPr>
                <w:rFonts w:hint="eastAsia" w:asciiTheme="minorEastAsia" w:hAnsiTheme="minorEastAsia"/>
                <w:sz w:val="24"/>
                <w:szCs w:val="24"/>
              </w:rPr>
              <w:t>系统中性点</w:t>
            </w:r>
          </w:p>
        </w:tc>
        <w:tc>
          <w:tcPr>
            <w:tcW w:w="2944" w:type="dxa"/>
          </w:tcPr>
          <w:p>
            <w:pPr>
              <w:spacing w:line="360" w:lineRule="auto"/>
              <w:ind w:firstLine="16" w:firstLineChars="7"/>
              <w:jc w:val="center"/>
              <w:rPr>
                <w:rFonts w:asciiTheme="minorEastAsia" w:hAnsiTheme="minorEastAsia"/>
                <w:sz w:val="24"/>
                <w:szCs w:val="24"/>
              </w:rPr>
            </w:pPr>
            <w:r>
              <w:rPr>
                <w:rFonts w:hint="eastAsia" w:asciiTheme="minorEastAsia" w:hAnsiTheme="minorEastAsia"/>
                <w:sz w:val="24"/>
                <w:szCs w:val="24"/>
              </w:rPr>
              <w:t>非有效接地</w:t>
            </w:r>
          </w:p>
        </w:tc>
        <w:tc>
          <w:tcPr>
            <w:tcW w:w="2950" w:type="dxa"/>
          </w:tcPr>
          <w:p>
            <w:pPr>
              <w:spacing w:line="360" w:lineRule="auto"/>
              <w:ind w:firstLine="16" w:firstLineChars="7"/>
              <w:jc w:val="center"/>
              <w:rPr>
                <w:rFonts w:asciiTheme="minorEastAsia" w:hAnsiTheme="minorEastAsia"/>
                <w:sz w:val="24"/>
                <w:szCs w:val="24"/>
              </w:rPr>
            </w:pPr>
            <w:r>
              <w:rPr>
                <w:rFonts w:hint="eastAsia" w:asciiTheme="minorEastAsia" w:hAnsiTheme="minorEastAsia"/>
                <w:sz w:val="24"/>
                <w:szCs w:val="24"/>
              </w:rPr>
              <w:t>有效接地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 w:hRule="atLeast"/>
          <w:jc w:val="center"/>
        </w:trPr>
        <w:tc>
          <w:tcPr>
            <w:tcW w:w="2944" w:type="dxa"/>
            <w:vMerge w:val="continue"/>
          </w:tcPr>
          <w:p>
            <w:pPr>
              <w:spacing w:line="360" w:lineRule="auto"/>
              <w:ind w:firstLine="16" w:firstLineChars="7"/>
              <w:jc w:val="center"/>
              <w:rPr>
                <w:rFonts w:asciiTheme="minorEastAsia" w:hAnsiTheme="minorEastAsia"/>
                <w:sz w:val="24"/>
                <w:szCs w:val="24"/>
              </w:rPr>
            </w:pPr>
          </w:p>
        </w:tc>
        <w:tc>
          <w:tcPr>
            <w:tcW w:w="5894" w:type="dxa"/>
            <w:gridSpan w:val="2"/>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10kV</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 w:hRule="atLeast"/>
          <w:jc w:val="center"/>
        </w:trPr>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U0</w:t>
            </w:r>
            <w:r>
              <w:rPr>
                <w:rFonts w:hint="eastAsia" w:asciiTheme="minorEastAsia" w:hAnsiTheme="minorEastAsia"/>
                <w:sz w:val="24"/>
                <w:szCs w:val="24"/>
              </w:rPr>
              <w:t>／</w:t>
            </w:r>
            <w:r>
              <w:rPr>
                <w:rFonts w:asciiTheme="minorEastAsia" w:hAnsiTheme="minorEastAsia"/>
                <w:sz w:val="24"/>
                <w:szCs w:val="24"/>
              </w:rPr>
              <w:t>U</w:t>
            </w:r>
            <w:r>
              <w:rPr>
                <w:rFonts w:hint="eastAsia" w:asciiTheme="minorEastAsia" w:hAnsiTheme="minorEastAsia"/>
                <w:sz w:val="24"/>
                <w:szCs w:val="24"/>
              </w:rPr>
              <w:t>（</w:t>
            </w:r>
            <w:r>
              <w:rPr>
                <w:rFonts w:asciiTheme="minorEastAsia" w:hAnsiTheme="minorEastAsia"/>
                <w:sz w:val="24"/>
                <w:szCs w:val="24"/>
              </w:rPr>
              <w:t>kV</w:t>
            </w:r>
            <w:r>
              <w:rPr>
                <w:rFonts w:hint="eastAsia" w:asciiTheme="minorEastAsia" w:hAnsiTheme="minorEastAsia"/>
                <w:sz w:val="24"/>
                <w:szCs w:val="24"/>
              </w:rPr>
              <w:t>）</w:t>
            </w:r>
          </w:p>
        </w:tc>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8.7/10</w:t>
            </w:r>
          </w:p>
        </w:tc>
        <w:tc>
          <w:tcPr>
            <w:tcW w:w="2950"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6/10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 w:hRule="atLeast"/>
          <w:jc w:val="center"/>
        </w:trPr>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Um</w:t>
            </w:r>
            <w:r>
              <w:rPr>
                <w:rFonts w:hint="eastAsia" w:asciiTheme="minorEastAsia" w:hAnsiTheme="minorEastAsia"/>
                <w:sz w:val="24"/>
                <w:szCs w:val="24"/>
              </w:rPr>
              <w:t>（</w:t>
            </w:r>
            <w:r>
              <w:rPr>
                <w:rFonts w:asciiTheme="minorEastAsia" w:hAnsiTheme="minorEastAsia"/>
                <w:sz w:val="24"/>
                <w:szCs w:val="24"/>
              </w:rPr>
              <w:t>kV</w:t>
            </w:r>
            <w:r>
              <w:rPr>
                <w:rFonts w:hint="eastAsia" w:asciiTheme="minorEastAsia" w:hAnsiTheme="minorEastAsia"/>
                <w:sz w:val="24"/>
                <w:szCs w:val="24"/>
              </w:rPr>
              <w:t>）</w:t>
            </w:r>
          </w:p>
        </w:tc>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11.5</w:t>
            </w:r>
          </w:p>
        </w:tc>
        <w:tc>
          <w:tcPr>
            <w:tcW w:w="2950"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11.5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 w:hRule="atLeast"/>
          <w:jc w:val="center"/>
        </w:trPr>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BIL</w:t>
            </w:r>
            <w:r>
              <w:rPr>
                <w:rFonts w:hint="eastAsia" w:asciiTheme="minorEastAsia" w:hAnsiTheme="minorEastAsia"/>
                <w:sz w:val="24"/>
                <w:szCs w:val="24"/>
              </w:rPr>
              <w:t>（</w:t>
            </w:r>
            <w:r>
              <w:rPr>
                <w:rFonts w:asciiTheme="minorEastAsia" w:hAnsiTheme="minorEastAsia"/>
                <w:sz w:val="24"/>
                <w:szCs w:val="24"/>
              </w:rPr>
              <w:t>kV</w:t>
            </w:r>
            <w:r>
              <w:rPr>
                <w:rFonts w:hint="eastAsia" w:asciiTheme="minorEastAsia" w:hAnsiTheme="minorEastAsia"/>
                <w:sz w:val="24"/>
                <w:szCs w:val="24"/>
              </w:rPr>
              <w:t>）</w:t>
            </w:r>
          </w:p>
        </w:tc>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95</w:t>
            </w:r>
          </w:p>
        </w:tc>
        <w:tc>
          <w:tcPr>
            <w:tcW w:w="2950"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 w:hRule="atLeast"/>
          <w:jc w:val="center"/>
        </w:trPr>
        <w:tc>
          <w:tcPr>
            <w:tcW w:w="2944" w:type="dxa"/>
          </w:tcPr>
          <w:p>
            <w:pPr>
              <w:spacing w:line="360" w:lineRule="auto"/>
              <w:ind w:firstLine="16" w:firstLineChars="7"/>
              <w:jc w:val="center"/>
              <w:rPr>
                <w:rFonts w:asciiTheme="minorEastAsia" w:hAnsiTheme="minorEastAsia"/>
                <w:sz w:val="24"/>
                <w:szCs w:val="24"/>
              </w:rPr>
            </w:pPr>
            <w:r>
              <w:rPr>
                <w:rFonts w:hint="eastAsia" w:asciiTheme="minorEastAsia" w:hAnsiTheme="minorEastAsia"/>
                <w:sz w:val="24"/>
                <w:szCs w:val="24"/>
              </w:rPr>
              <w:t>外护套冲击耐压（</w:t>
            </w:r>
            <w:r>
              <w:rPr>
                <w:rFonts w:asciiTheme="minorEastAsia" w:hAnsiTheme="minorEastAsia"/>
                <w:sz w:val="24"/>
                <w:szCs w:val="24"/>
              </w:rPr>
              <w:t>kV</w:t>
            </w:r>
            <w:r>
              <w:rPr>
                <w:rFonts w:hint="eastAsia" w:asciiTheme="minorEastAsia" w:hAnsiTheme="minorEastAsia"/>
                <w:sz w:val="24"/>
                <w:szCs w:val="24"/>
              </w:rPr>
              <w:t>）</w:t>
            </w:r>
          </w:p>
        </w:tc>
        <w:tc>
          <w:tcPr>
            <w:tcW w:w="2944"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20</w:t>
            </w:r>
          </w:p>
        </w:tc>
        <w:tc>
          <w:tcPr>
            <w:tcW w:w="2950" w:type="dxa"/>
          </w:tcPr>
          <w:p>
            <w:pPr>
              <w:spacing w:line="360" w:lineRule="auto"/>
              <w:ind w:firstLine="16" w:firstLineChars="7"/>
              <w:jc w:val="center"/>
              <w:rPr>
                <w:rFonts w:asciiTheme="minorEastAsia" w:hAnsiTheme="minorEastAsia"/>
                <w:sz w:val="24"/>
                <w:szCs w:val="24"/>
              </w:rPr>
            </w:pPr>
            <w:r>
              <w:rPr>
                <w:rFonts w:asciiTheme="minorEastAsia" w:hAnsiTheme="minorEastAsia"/>
                <w:sz w:val="24"/>
                <w:szCs w:val="24"/>
              </w:rPr>
              <w:t>20</w:t>
            </w:r>
          </w:p>
        </w:tc>
      </w:tr>
    </w:tbl>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（2）电缆终端的选择</w:t>
      </w:r>
    </w:p>
    <w:p>
      <w:pPr>
        <w:spacing w:line="360" w:lineRule="auto"/>
        <w:ind w:firstLine="364" w:firstLineChars="152"/>
        <w:rPr>
          <w:rFonts w:hint="eastAsia" w:asciiTheme="minorEastAsia" w:hAnsiTheme="minorEastAsia"/>
          <w:color w:val="auto"/>
          <w:sz w:val="24"/>
          <w:szCs w:val="24"/>
          <w:lang w:eastAsia="zh-CN"/>
        </w:rPr>
      </w:pPr>
      <w:r>
        <w:rPr>
          <w:rFonts w:hint="eastAsia" w:asciiTheme="minorEastAsia" w:hAnsiTheme="minorEastAsia"/>
          <w:color w:val="auto"/>
          <w:sz w:val="24"/>
          <w:szCs w:val="24"/>
        </w:rPr>
        <w:t>本工程新建10kV电缆终端头采用预制整体冷缩式终端头，型号为3×</w:t>
      </w:r>
      <w:r>
        <w:rPr>
          <w:rFonts w:hint="eastAsia" w:asciiTheme="minorEastAsia" w:hAnsiTheme="minorEastAsia"/>
          <w:color w:val="auto"/>
          <w:sz w:val="24"/>
          <w:szCs w:val="24"/>
          <w:lang w:val="en-US" w:eastAsia="zh-CN"/>
        </w:rPr>
        <w:t>400</w:t>
      </w:r>
      <w:r>
        <w:rPr>
          <w:rFonts w:hint="eastAsia" w:asciiTheme="minorEastAsia" w:hAnsiTheme="minorEastAsia"/>
          <w:color w:val="auto"/>
          <w:sz w:val="24"/>
          <w:szCs w:val="24"/>
        </w:rPr>
        <w:t>mm</w:t>
      </w:r>
      <w:r>
        <w:rPr>
          <w:rFonts w:hint="eastAsia" w:asciiTheme="minorEastAsia" w:hAnsiTheme="minorEastAsia"/>
          <w:color w:val="auto"/>
          <w:sz w:val="24"/>
          <w:szCs w:val="24"/>
          <w:vertAlign w:val="superscript"/>
        </w:rPr>
        <w:t>2</w:t>
      </w:r>
      <w:r>
        <w:rPr>
          <w:rFonts w:hint="eastAsia" w:asciiTheme="minorEastAsia" w:hAnsiTheme="minorEastAsia"/>
          <w:color w:val="auto"/>
          <w:sz w:val="24"/>
          <w:szCs w:val="24"/>
        </w:rPr>
        <w:t>型。</w:t>
      </w:r>
      <w:r>
        <w:rPr>
          <w:rFonts w:hint="eastAsia" w:asciiTheme="minorEastAsia" w:hAnsiTheme="minorEastAsia"/>
          <w:color w:val="auto"/>
          <w:sz w:val="24"/>
          <w:szCs w:val="24"/>
          <w:lang w:eastAsia="zh-CN"/>
        </w:rPr>
        <w:t>如下表：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vertAlign w:val="baseline"/>
                <w:lang w:eastAsia="zh-CN"/>
              </w:rPr>
              <w:t>类型</w:t>
            </w:r>
          </w:p>
        </w:tc>
        <w:tc>
          <w:tcPr>
            <w:tcW w:w="2130"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vertAlign w:val="baseline"/>
                <w:lang w:eastAsia="zh-CN"/>
              </w:rPr>
              <w:t>安装环境</w:t>
            </w:r>
          </w:p>
        </w:tc>
        <w:tc>
          <w:tcPr>
            <w:tcW w:w="2131"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vertAlign w:val="baseline"/>
                <w:lang w:eastAsia="zh-CN"/>
              </w:rPr>
              <w:t>规格</w:t>
            </w:r>
          </w:p>
        </w:tc>
        <w:tc>
          <w:tcPr>
            <w:tcW w:w="2131"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vertAlign w:val="baseli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top"/>
          </w:tcPr>
          <w:p>
            <w:pPr>
              <w:spacing w:line="360" w:lineRule="auto"/>
              <w:rPr>
                <w:rFonts w:hint="default" w:asciiTheme="minorEastAsia" w:hAnsiTheme="minorEastAsia" w:eastAsiaTheme="minorEastAsia" w:cstheme="minorBidi"/>
                <w:color w:val="auto"/>
                <w:kern w:val="2"/>
                <w:sz w:val="24"/>
                <w:szCs w:val="24"/>
                <w:vertAlign w:val="baseline"/>
                <w:lang w:val="en-US" w:eastAsia="zh-CN" w:bidi="ar-SA"/>
              </w:rPr>
            </w:pPr>
            <w:r>
              <w:rPr>
                <w:rFonts w:hint="eastAsia" w:asciiTheme="minorEastAsia" w:hAnsiTheme="minorEastAsia"/>
                <w:color w:val="auto"/>
                <w:sz w:val="24"/>
                <w:szCs w:val="24"/>
                <w:lang w:val="en-US" w:eastAsia="zh-CN"/>
              </w:rPr>
              <w:t>10kV电缆终端</w:t>
            </w:r>
          </w:p>
        </w:tc>
        <w:tc>
          <w:tcPr>
            <w:tcW w:w="2130" w:type="dxa"/>
            <w:vAlign w:val="top"/>
          </w:tcPr>
          <w:p>
            <w:pPr>
              <w:spacing w:line="360" w:lineRule="auto"/>
              <w:rPr>
                <w:rFonts w:hint="eastAsia" w:asciiTheme="minorEastAsia" w:hAnsiTheme="minorEastAsia" w:eastAsiaTheme="minorEastAsia" w:cstheme="minorBidi"/>
                <w:color w:val="auto"/>
                <w:kern w:val="2"/>
                <w:sz w:val="24"/>
                <w:szCs w:val="24"/>
                <w:vertAlign w:val="baseline"/>
                <w:lang w:val="en-US" w:eastAsia="zh-CN" w:bidi="ar-SA"/>
              </w:rPr>
            </w:pPr>
            <w:r>
              <w:rPr>
                <w:rFonts w:hint="eastAsia" w:asciiTheme="minorEastAsia" w:hAnsiTheme="minorEastAsia"/>
                <w:color w:val="auto"/>
                <w:sz w:val="24"/>
                <w:szCs w:val="24"/>
                <w:vertAlign w:val="baseline"/>
                <w:lang w:eastAsia="zh-CN"/>
              </w:rPr>
              <w:t>户外</w:t>
            </w:r>
          </w:p>
        </w:tc>
        <w:tc>
          <w:tcPr>
            <w:tcW w:w="2131" w:type="dxa"/>
          </w:tcPr>
          <w:p>
            <w:pPr>
              <w:spacing w:line="360" w:lineRule="auto"/>
              <w:rPr>
                <w:rFonts w:hint="eastAsia" w:asciiTheme="minorEastAsia" w:hAnsiTheme="minorEastAsia" w:eastAsiaTheme="minorEastAsia"/>
                <w:color w:val="auto"/>
                <w:sz w:val="24"/>
                <w:szCs w:val="24"/>
                <w:vertAlign w:val="baseline"/>
                <w:lang w:eastAsia="zh-CN"/>
              </w:rPr>
            </w:pPr>
            <w:r>
              <w:rPr>
                <w:rFonts w:hint="eastAsia" w:asciiTheme="minorEastAsia" w:hAnsiTheme="minorEastAsia"/>
                <w:color w:val="auto"/>
                <w:sz w:val="24"/>
                <w:szCs w:val="24"/>
              </w:rPr>
              <w:t>3×</w:t>
            </w:r>
            <w:r>
              <w:rPr>
                <w:rFonts w:hint="eastAsia" w:asciiTheme="minorEastAsia" w:hAnsiTheme="minorEastAsia"/>
                <w:color w:val="auto"/>
                <w:sz w:val="24"/>
                <w:szCs w:val="24"/>
                <w:lang w:val="en-US" w:eastAsia="zh-CN"/>
              </w:rPr>
              <w:t>40</w:t>
            </w:r>
            <w:r>
              <w:rPr>
                <w:rFonts w:hint="eastAsia" w:asciiTheme="minorEastAsia" w:hAnsiTheme="minorEastAsia"/>
                <w:color w:val="auto"/>
                <w:sz w:val="24"/>
                <w:szCs w:val="24"/>
              </w:rPr>
              <w:t>0mm</w:t>
            </w:r>
            <w:r>
              <w:rPr>
                <w:rFonts w:hint="eastAsia" w:asciiTheme="minorEastAsia" w:hAnsiTheme="minorEastAsia"/>
                <w:color w:val="auto"/>
                <w:sz w:val="24"/>
                <w:szCs w:val="24"/>
                <w:vertAlign w:val="superscript"/>
              </w:rPr>
              <w:t>2</w:t>
            </w:r>
            <w:r>
              <w:rPr>
                <w:rFonts w:hint="eastAsia" w:asciiTheme="minorEastAsia" w:hAnsiTheme="minorEastAsia"/>
                <w:color w:val="auto"/>
                <w:sz w:val="24"/>
                <w:szCs w:val="24"/>
                <w:lang w:eastAsia="zh-CN"/>
              </w:rPr>
              <w:t>，冷缩</w:t>
            </w:r>
          </w:p>
        </w:tc>
        <w:tc>
          <w:tcPr>
            <w:tcW w:w="2131" w:type="dxa"/>
          </w:tcPr>
          <w:p>
            <w:pPr>
              <w:spacing w:line="360" w:lineRule="auto"/>
              <w:rPr>
                <w:rFonts w:hint="default" w:asciiTheme="minorEastAsia" w:hAnsiTheme="minorEastAsia"/>
                <w:color w:val="auto"/>
                <w:sz w:val="24"/>
                <w:szCs w:val="24"/>
                <w:vertAlign w:val="baseline"/>
                <w:lang w:val="en-US" w:eastAsia="zh-CN"/>
              </w:rPr>
            </w:pPr>
            <w:r>
              <w:rPr>
                <w:rFonts w:hint="eastAsia" w:asciiTheme="minorEastAsia" w:hAnsiTheme="minorEastAsia"/>
                <w:color w:val="auto"/>
                <w:sz w:val="24"/>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lang w:val="en-US" w:eastAsia="zh-CN"/>
              </w:rPr>
              <w:t>10kV电缆终端</w:t>
            </w:r>
          </w:p>
        </w:tc>
        <w:tc>
          <w:tcPr>
            <w:tcW w:w="2130"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vertAlign w:val="baseline"/>
                <w:lang w:eastAsia="zh-CN"/>
              </w:rPr>
              <w:t>户内</w:t>
            </w:r>
          </w:p>
        </w:tc>
        <w:tc>
          <w:tcPr>
            <w:tcW w:w="2131" w:type="dxa"/>
          </w:tcPr>
          <w:p>
            <w:pPr>
              <w:spacing w:line="360" w:lineRule="auto"/>
              <w:rPr>
                <w:rFonts w:hint="eastAsia" w:asciiTheme="minorEastAsia" w:hAnsiTheme="minorEastAsia"/>
                <w:color w:val="auto"/>
                <w:sz w:val="24"/>
                <w:szCs w:val="24"/>
                <w:vertAlign w:val="baseline"/>
                <w:lang w:eastAsia="zh-CN"/>
              </w:rPr>
            </w:pPr>
            <w:r>
              <w:rPr>
                <w:rFonts w:hint="eastAsia" w:asciiTheme="minorEastAsia" w:hAnsiTheme="minorEastAsia"/>
                <w:color w:val="auto"/>
                <w:sz w:val="24"/>
                <w:szCs w:val="24"/>
              </w:rPr>
              <w:t>3×</w:t>
            </w:r>
            <w:r>
              <w:rPr>
                <w:rFonts w:hint="eastAsia" w:asciiTheme="minorEastAsia" w:hAnsiTheme="minorEastAsia"/>
                <w:color w:val="auto"/>
                <w:sz w:val="24"/>
                <w:szCs w:val="24"/>
                <w:lang w:val="en-US" w:eastAsia="zh-CN"/>
              </w:rPr>
              <w:t>40</w:t>
            </w:r>
            <w:r>
              <w:rPr>
                <w:rFonts w:hint="eastAsia" w:asciiTheme="minorEastAsia" w:hAnsiTheme="minorEastAsia"/>
                <w:color w:val="auto"/>
                <w:sz w:val="24"/>
                <w:szCs w:val="24"/>
              </w:rPr>
              <w:t>0mm</w:t>
            </w:r>
            <w:r>
              <w:rPr>
                <w:rFonts w:hint="eastAsia" w:asciiTheme="minorEastAsia" w:hAnsiTheme="minorEastAsia"/>
                <w:color w:val="auto"/>
                <w:sz w:val="24"/>
                <w:szCs w:val="24"/>
                <w:vertAlign w:val="superscript"/>
              </w:rPr>
              <w:t>2</w:t>
            </w:r>
            <w:r>
              <w:rPr>
                <w:rFonts w:hint="eastAsia" w:asciiTheme="minorEastAsia" w:hAnsiTheme="minorEastAsia"/>
                <w:color w:val="auto"/>
                <w:sz w:val="24"/>
                <w:szCs w:val="24"/>
                <w:lang w:eastAsia="zh-CN"/>
              </w:rPr>
              <w:t>，冷缩</w:t>
            </w:r>
          </w:p>
        </w:tc>
        <w:tc>
          <w:tcPr>
            <w:tcW w:w="2131" w:type="dxa"/>
          </w:tcPr>
          <w:p>
            <w:pPr>
              <w:spacing w:line="360" w:lineRule="auto"/>
              <w:rPr>
                <w:rFonts w:hint="default" w:asciiTheme="minorEastAsia" w:hAnsiTheme="minorEastAsia"/>
                <w:color w:val="auto"/>
                <w:sz w:val="24"/>
                <w:szCs w:val="24"/>
                <w:vertAlign w:val="baseline"/>
                <w:lang w:val="en-US" w:eastAsia="zh-CN"/>
              </w:rPr>
            </w:pPr>
            <w:r>
              <w:rPr>
                <w:rFonts w:hint="eastAsia" w:asciiTheme="minorEastAsia" w:hAnsiTheme="minorEastAsia"/>
                <w:color w:val="auto"/>
                <w:sz w:val="24"/>
                <w:szCs w:val="24"/>
                <w:vertAlign w:val="baseline"/>
                <w:lang w:val="en-US" w:eastAsia="zh-CN"/>
              </w:rPr>
              <w:t>2</w:t>
            </w:r>
          </w:p>
        </w:tc>
      </w:tr>
    </w:tbl>
    <w:p>
      <w:pPr>
        <w:spacing w:line="360" w:lineRule="auto"/>
        <w:rPr>
          <w:rFonts w:hint="eastAsia" w:asciiTheme="minorEastAsia" w:hAnsiTheme="minorEastAsia"/>
          <w:color w:val="0000FF"/>
          <w:sz w:val="24"/>
          <w:szCs w:val="24"/>
          <w:lang w:eastAsia="zh-CN"/>
        </w:rPr>
      </w:pPr>
    </w:p>
    <w:p>
      <w:pPr>
        <w:spacing w:before="240" w:line="360" w:lineRule="auto"/>
        <w:outlineLvl w:val="1"/>
        <w:rPr>
          <w:rFonts w:ascii="宋体" w:eastAsia="宋体" w:cs="宋体"/>
          <w:b/>
          <w:kern w:val="0"/>
          <w:sz w:val="24"/>
          <w:szCs w:val="24"/>
        </w:rPr>
      </w:pPr>
      <w:bookmarkStart w:id="34" w:name="_Toc490754499"/>
      <w:r>
        <w:rPr>
          <w:rFonts w:hint="eastAsia" w:ascii="宋体" w:eastAsia="宋体" w:cs="宋体"/>
          <w:b/>
          <w:kern w:val="0"/>
          <w:sz w:val="24"/>
          <w:szCs w:val="24"/>
        </w:rPr>
        <w:t>11.3电缆土建部分</w:t>
      </w:r>
      <w:bookmarkEnd w:id="34"/>
    </w:p>
    <w:p>
      <w:pPr>
        <w:spacing w:line="360" w:lineRule="auto"/>
        <w:ind w:firstLine="424" w:firstLineChars="177"/>
        <w:outlineLvl w:val="2"/>
        <w:rPr>
          <w:rFonts w:ascii="宋体" w:eastAsia="宋体" w:cs="宋体"/>
          <w:kern w:val="0"/>
          <w:sz w:val="24"/>
          <w:szCs w:val="24"/>
        </w:rPr>
      </w:pPr>
      <w:bookmarkStart w:id="35" w:name="_Toc490754500"/>
      <w:r>
        <w:rPr>
          <w:rFonts w:hint="eastAsia" w:ascii="宋体" w:eastAsia="宋体" w:cs="宋体"/>
          <w:kern w:val="0"/>
          <w:sz w:val="24"/>
          <w:szCs w:val="24"/>
        </w:rPr>
        <w:t>11.3.1荷载选定</w:t>
      </w:r>
      <w:bookmarkEnd w:id="35"/>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本次设计按以下荷载考虑：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（1）一般地面活动荷载、堆积荷载取4.0～10kN/m2。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（2）电缆排管结构件处于道路人行道等小型车通行区域时，考虑35kN为标准轴载进行结构设计，处于城市车行道时，考虑100kN 为标准轴载进行结构设计，电缆管道处于公路时，采用双轮组2×140kN为标准轴载进行结构设计。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（3）一般地面活荷载和车辆荷载不考虑同时作用，按地震烈度七度设防，在计算地震作用时，应计算结构等效重力荷载产生的水平地震作用和动土压力作用。</w:t>
      </w:r>
    </w:p>
    <w:p>
      <w:pPr>
        <w:spacing w:line="360" w:lineRule="auto"/>
        <w:ind w:firstLine="424" w:firstLineChars="177"/>
        <w:outlineLvl w:val="2"/>
        <w:rPr>
          <w:rFonts w:ascii="宋体" w:eastAsia="宋体" w:cs="宋体"/>
          <w:kern w:val="0"/>
          <w:sz w:val="24"/>
          <w:szCs w:val="24"/>
        </w:rPr>
      </w:pPr>
      <w:bookmarkStart w:id="36" w:name="_Toc490754501"/>
      <w:r>
        <w:rPr>
          <w:rFonts w:hint="eastAsia" w:ascii="宋体" w:eastAsia="宋体" w:cs="宋体"/>
          <w:kern w:val="0"/>
          <w:sz w:val="24"/>
          <w:szCs w:val="24"/>
        </w:rPr>
        <w:t>11.3.2地质条件</w:t>
      </w:r>
      <w:bookmarkEnd w:id="36"/>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11.3</w:t>
      </w:r>
      <w:r>
        <w:rPr>
          <w:rFonts w:hint="eastAsia" w:asciiTheme="minorEastAsia" w:hAnsiTheme="minorEastAsia"/>
          <w:sz w:val="24"/>
          <w:szCs w:val="24"/>
        </w:rPr>
        <w:t>-1 地质条件表</w:t>
      </w:r>
    </w:p>
    <w:tbl>
      <w:tblPr>
        <w:tblStyle w:val="12"/>
        <w:tblW w:w="8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2"/>
        <w:gridCol w:w="41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项目</w:t>
            </w:r>
          </w:p>
        </w:tc>
        <w:tc>
          <w:tcPr>
            <w:tcW w:w="41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条件值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地基承载力特征值（</w:t>
            </w:r>
            <w:r>
              <w:rPr>
                <w:rFonts w:ascii="宋体" w:eastAsia="宋体" w:cs="宋体"/>
                <w:color w:val="000000"/>
                <w:kern w:val="0"/>
                <w:sz w:val="24"/>
                <w:szCs w:val="24"/>
              </w:rPr>
              <w:t>kPa</w:t>
            </w:r>
            <w:r>
              <w:rPr>
                <w:rFonts w:hint="eastAsia" w:ascii="宋体" w:eastAsia="宋体" w:cs="宋体"/>
                <w:color w:val="000000"/>
                <w:kern w:val="0"/>
                <w:sz w:val="24"/>
                <w:szCs w:val="24"/>
              </w:rPr>
              <w:t>）</w:t>
            </w:r>
          </w:p>
        </w:tc>
        <w:tc>
          <w:tcPr>
            <w:tcW w:w="4142"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地下水位距地面（</w:t>
            </w:r>
            <w:r>
              <w:rPr>
                <w:rFonts w:ascii="宋体" w:eastAsia="宋体" w:cs="宋体"/>
                <w:color w:val="000000"/>
                <w:kern w:val="0"/>
                <w:sz w:val="24"/>
                <w:szCs w:val="24"/>
              </w:rPr>
              <w:t>mm</w:t>
            </w:r>
            <w:r>
              <w:rPr>
                <w:rFonts w:hint="eastAsia" w:ascii="宋体" w:eastAsia="宋体" w:cs="宋体"/>
                <w:color w:val="000000"/>
                <w:kern w:val="0"/>
                <w:sz w:val="24"/>
                <w:szCs w:val="24"/>
              </w:rPr>
              <w:t>）</w:t>
            </w:r>
          </w:p>
        </w:tc>
        <w:tc>
          <w:tcPr>
            <w:tcW w:w="41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w:t>
            </w:r>
            <w:r>
              <w:rPr>
                <w:rFonts w:ascii="宋体" w:eastAsia="宋体" w:cs="宋体"/>
                <w:color w:val="000000"/>
                <w:kern w:val="0"/>
                <w:sz w:val="24"/>
                <w:szCs w:val="24"/>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42" w:type="dxa"/>
            <w:vAlign w:val="center"/>
          </w:tcPr>
          <w:p>
            <w:pPr>
              <w:pStyle w:val="16"/>
              <w:jc w:val="center"/>
            </w:pPr>
            <w:r>
              <w:rPr>
                <w:rFonts w:hint="eastAsia"/>
              </w:rPr>
              <w:t>土的重度（</w:t>
            </w:r>
            <w:r>
              <w:t>kN/m3</w:t>
            </w:r>
            <w:r>
              <w:rPr>
                <w:rFonts w:hint="eastAsia"/>
              </w:rPr>
              <w:t>）</w:t>
            </w:r>
          </w:p>
        </w:tc>
        <w:tc>
          <w:tcPr>
            <w:tcW w:w="4142" w:type="dxa"/>
            <w:vAlign w:val="center"/>
          </w:tcPr>
          <w:p>
            <w:pPr>
              <w:pStyle w:val="16"/>
              <w:jc w:val="center"/>
            </w:pPr>
            <w: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42" w:type="dxa"/>
            <w:vAlign w:val="center"/>
          </w:tcPr>
          <w:p>
            <w:pPr>
              <w:pStyle w:val="16"/>
              <w:jc w:val="center"/>
            </w:pPr>
            <w:r>
              <w:rPr>
                <w:rFonts w:hint="eastAsia"/>
              </w:rPr>
              <w:t>土的内摩擦角</w:t>
            </w:r>
          </w:p>
        </w:tc>
        <w:tc>
          <w:tcPr>
            <w:tcW w:w="4142" w:type="dxa"/>
            <w:vAlign w:val="center"/>
          </w:tcPr>
          <w:p>
            <w:pPr>
              <w:pStyle w:val="16"/>
              <w:jc w:val="center"/>
            </w:pPr>
            <w:r>
              <w:t>30</w:t>
            </w: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42" w:type="dxa"/>
            <w:vAlign w:val="center"/>
          </w:tcPr>
          <w:p>
            <w:pPr>
              <w:pStyle w:val="16"/>
              <w:jc w:val="center"/>
            </w:pPr>
            <w:r>
              <w:rPr>
                <w:rFonts w:hint="eastAsia"/>
              </w:rPr>
              <w:t>土的黏聚力（</w:t>
            </w:r>
            <w:r>
              <w:t>kPa</w:t>
            </w:r>
            <w:r>
              <w:rPr>
                <w:rFonts w:hint="eastAsia"/>
              </w:rPr>
              <w:t>）</w:t>
            </w:r>
          </w:p>
        </w:tc>
        <w:tc>
          <w:tcPr>
            <w:tcW w:w="4142" w:type="dxa"/>
            <w:vAlign w:val="center"/>
          </w:tcPr>
          <w:p>
            <w:pPr>
              <w:pStyle w:val="16"/>
              <w:jc w:val="center"/>
            </w:pPr>
            <w:r>
              <w:t>40</w:t>
            </w:r>
          </w:p>
        </w:tc>
      </w:tr>
    </w:tbl>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土质边坡的坡率允许值应根据经验，按工程类比的原则并结合已有稳定边坡的坡率值分析确定。当无经验且土质均匀良好、地下水位低、无不良地质现象和地质环境条件简单时，可按表</w:t>
      </w:r>
      <w:r>
        <w:rPr>
          <w:rFonts w:asciiTheme="minorEastAsia" w:hAnsiTheme="minorEastAsia"/>
          <w:sz w:val="24"/>
          <w:szCs w:val="24"/>
        </w:rPr>
        <w:t>11.3</w:t>
      </w:r>
      <w:r>
        <w:rPr>
          <w:rFonts w:hint="eastAsia" w:asciiTheme="minorEastAsia" w:hAnsiTheme="minorEastAsia"/>
          <w:sz w:val="24"/>
          <w:szCs w:val="24"/>
        </w:rPr>
        <w:t>-2确定。</w:t>
      </w:r>
    </w:p>
    <w:p>
      <w:pPr>
        <w:spacing w:line="360" w:lineRule="auto"/>
        <w:jc w:val="center"/>
        <w:rPr>
          <w:rFonts w:asciiTheme="minorEastAsia" w:hAnsiTheme="minorEastAsia"/>
          <w:sz w:val="24"/>
          <w:szCs w:val="24"/>
        </w:rPr>
      </w:pPr>
      <w:r>
        <w:rPr>
          <w:rFonts w:hint="eastAsia" w:asciiTheme="minorEastAsia" w:hAnsiTheme="minorEastAsia"/>
          <w:sz w:val="24"/>
          <w:szCs w:val="24"/>
        </w:rPr>
        <w:t>表</w:t>
      </w:r>
      <w:r>
        <w:rPr>
          <w:rFonts w:asciiTheme="minorEastAsia" w:hAnsiTheme="minorEastAsia"/>
          <w:sz w:val="24"/>
          <w:szCs w:val="24"/>
        </w:rPr>
        <w:t xml:space="preserve">11.3-2 </w:t>
      </w:r>
      <w:r>
        <w:rPr>
          <w:rFonts w:hint="eastAsia" w:asciiTheme="minorEastAsia" w:hAnsiTheme="minorEastAsia"/>
          <w:sz w:val="24"/>
          <w:szCs w:val="24"/>
        </w:rPr>
        <w:t>土质边坡坡率允许值</w:t>
      </w:r>
    </w:p>
    <w:tbl>
      <w:tblPr>
        <w:tblStyle w:val="12"/>
        <w:tblW w:w="851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8"/>
        <w:gridCol w:w="1842"/>
        <w:gridCol w:w="2694"/>
        <w:gridCol w:w="23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trPr>
        <w:tc>
          <w:tcPr>
            <w:tcW w:w="3510" w:type="dxa"/>
            <w:gridSpan w:val="2"/>
            <w:vMerge w:val="restart"/>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土体类别</w:t>
            </w:r>
          </w:p>
        </w:tc>
        <w:tc>
          <w:tcPr>
            <w:tcW w:w="2694"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状态</w:t>
            </w:r>
          </w:p>
        </w:tc>
        <w:tc>
          <w:tcPr>
            <w:tcW w:w="2308"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坡率允许值</w:t>
            </w:r>
            <w:r>
              <w:rPr>
                <w:rFonts w:ascii="宋体" w:eastAsia="宋体" w:cs="宋体"/>
                <w:color w:val="000000"/>
                <w:kern w:val="0"/>
                <w:sz w:val="24"/>
                <w:szCs w:val="24"/>
              </w:rPr>
              <w:t>(</w:t>
            </w:r>
            <w:r>
              <w:rPr>
                <w:rFonts w:hint="eastAsia" w:ascii="宋体" w:eastAsia="宋体" w:cs="宋体"/>
                <w:color w:val="000000"/>
                <w:kern w:val="0"/>
                <w:sz w:val="24"/>
                <w:szCs w:val="24"/>
              </w:rPr>
              <w:t>高宽比</w:t>
            </w:r>
            <w:r>
              <w:rPr>
                <w:rFonts w:ascii="宋体" w:eastAsia="宋体" w:cs="宋体"/>
                <w:color w:val="000000"/>
                <w:kern w:val="0"/>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trPr>
        <w:tc>
          <w:tcPr>
            <w:tcW w:w="3510" w:type="dxa"/>
            <w:gridSpan w:val="2"/>
            <w:vMerge w:val="continue"/>
            <w:vAlign w:val="center"/>
          </w:tcPr>
          <w:p>
            <w:pPr>
              <w:autoSpaceDE w:val="0"/>
              <w:autoSpaceDN w:val="0"/>
              <w:adjustRightInd w:val="0"/>
              <w:jc w:val="center"/>
              <w:rPr>
                <w:rFonts w:ascii="宋体" w:eastAsia="宋体" w:cs="宋体"/>
                <w:color w:val="000000"/>
                <w:kern w:val="0"/>
                <w:sz w:val="24"/>
                <w:szCs w:val="24"/>
              </w:rPr>
            </w:pPr>
          </w:p>
        </w:tc>
        <w:tc>
          <w:tcPr>
            <w:tcW w:w="2694"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坡高小于</w:t>
            </w:r>
            <w:r>
              <w:rPr>
                <w:rFonts w:ascii="宋体" w:eastAsia="宋体" w:cs="宋体"/>
                <w:color w:val="000000"/>
                <w:kern w:val="0"/>
                <w:sz w:val="24"/>
                <w:szCs w:val="24"/>
              </w:rPr>
              <w:t>5m</w:t>
            </w:r>
          </w:p>
        </w:tc>
        <w:tc>
          <w:tcPr>
            <w:tcW w:w="2308"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坡高</w:t>
            </w:r>
            <w:r>
              <w:rPr>
                <w:rFonts w:ascii="宋体" w:eastAsia="宋体" w:cs="宋体"/>
                <w:color w:val="000000"/>
                <w:kern w:val="0"/>
                <w:sz w:val="24"/>
                <w:szCs w:val="24"/>
              </w:rPr>
              <w:t>5</w:t>
            </w:r>
            <w:r>
              <w:rPr>
                <w:rFonts w:hint="eastAsia" w:ascii="宋体" w:eastAsia="宋体" w:cs="宋体"/>
                <w:color w:val="000000"/>
                <w:kern w:val="0"/>
                <w:sz w:val="24"/>
                <w:szCs w:val="24"/>
              </w:rPr>
              <w:t>～</w:t>
            </w:r>
            <w:r>
              <w:rPr>
                <w:rFonts w:ascii="宋体" w:eastAsia="宋体" w:cs="宋体"/>
                <w:color w:val="000000"/>
                <w:kern w:val="0"/>
                <w:sz w:val="24"/>
                <w:szCs w:val="24"/>
              </w:rPr>
              <w:t>10m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1" w:hRule="exact"/>
        </w:trPr>
        <w:tc>
          <w:tcPr>
            <w:tcW w:w="1668"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碎石土</w:t>
            </w:r>
          </w:p>
        </w:tc>
        <w:tc>
          <w:tcPr>
            <w:tcW w:w="18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密实</w:t>
            </w:r>
          </w:p>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中密</w:t>
            </w:r>
          </w:p>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稍密</w:t>
            </w:r>
          </w:p>
        </w:tc>
        <w:tc>
          <w:tcPr>
            <w:tcW w:w="2694"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0.35</w:t>
            </w:r>
            <w:r>
              <w:rPr>
                <w:rFonts w:hint="eastAsia" w:ascii="宋体" w:eastAsia="宋体" w:cs="宋体"/>
                <w:color w:val="000000"/>
                <w:kern w:val="0"/>
                <w:sz w:val="24"/>
                <w:szCs w:val="24"/>
              </w:rPr>
              <w:t>～</w:t>
            </w:r>
            <w:r>
              <w:rPr>
                <w:rFonts w:ascii="宋体" w:eastAsia="宋体" w:cs="宋体"/>
                <w:color w:val="000000"/>
                <w:kern w:val="0"/>
                <w:sz w:val="24"/>
                <w:szCs w:val="24"/>
              </w:rPr>
              <w:t>1:0.50</w:t>
            </w:r>
          </w:p>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0.50</w:t>
            </w:r>
            <w:r>
              <w:rPr>
                <w:rFonts w:hint="eastAsia" w:ascii="宋体" w:eastAsia="宋体" w:cs="宋体"/>
                <w:color w:val="000000"/>
                <w:kern w:val="0"/>
                <w:sz w:val="24"/>
                <w:szCs w:val="24"/>
              </w:rPr>
              <w:t>～</w:t>
            </w:r>
            <w:r>
              <w:rPr>
                <w:rFonts w:ascii="宋体" w:eastAsia="宋体" w:cs="宋体"/>
                <w:color w:val="000000"/>
                <w:kern w:val="0"/>
                <w:sz w:val="24"/>
                <w:szCs w:val="24"/>
              </w:rPr>
              <w:t>1:0.75</w:t>
            </w:r>
          </w:p>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0.75</w:t>
            </w:r>
            <w:r>
              <w:rPr>
                <w:rFonts w:hint="eastAsia" w:ascii="宋体" w:eastAsia="宋体" w:cs="宋体"/>
                <w:color w:val="000000"/>
                <w:kern w:val="0"/>
                <w:sz w:val="24"/>
                <w:szCs w:val="24"/>
              </w:rPr>
              <w:t>～</w:t>
            </w:r>
            <w:r>
              <w:rPr>
                <w:rFonts w:ascii="宋体" w:eastAsia="宋体" w:cs="宋体"/>
                <w:color w:val="000000"/>
                <w:kern w:val="0"/>
                <w:sz w:val="24"/>
                <w:szCs w:val="24"/>
              </w:rPr>
              <w:t>1:1.00</w:t>
            </w:r>
          </w:p>
        </w:tc>
        <w:tc>
          <w:tcPr>
            <w:tcW w:w="2308"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0.50</w:t>
            </w:r>
            <w:r>
              <w:rPr>
                <w:rFonts w:hint="eastAsia" w:ascii="宋体" w:eastAsia="宋体" w:cs="宋体"/>
                <w:color w:val="000000"/>
                <w:kern w:val="0"/>
                <w:sz w:val="24"/>
                <w:szCs w:val="24"/>
              </w:rPr>
              <w:t>～</w:t>
            </w:r>
            <w:r>
              <w:rPr>
                <w:rFonts w:ascii="宋体" w:eastAsia="宋体" w:cs="宋体"/>
                <w:color w:val="000000"/>
                <w:kern w:val="0"/>
                <w:sz w:val="24"/>
                <w:szCs w:val="24"/>
              </w:rPr>
              <w:t>1:0.75</w:t>
            </w:r>
          </w:p>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0.75</w:t>
            </w:r>
            <w:r>
              <w:rPr>
                <w:rFonts w:hint="eastAsia" w:ascii="宋体" w:eastAsia="宋体" w:cs="宋体"/>
                <w:color w:val="000000"/>
                <w:kern w:val="0"/>
                <w:sz w:val="24"/>
                <w:szCs w:val="24"/>
              </w:rPr>
              <w:t>～</w:t>
            </w:r>
            <w:r>
              <w:rPr>
                <w:rFonts w:ascii="宋体" w:eastAsia="宋体" w:cs="宋体"/>
                <w:color w:val="000000"/>
                <w:kern w:val="0"/>
                <w:sz w:val="24"/>
                <w:szCs w:val="24"/>
              </w:rPr>
              <w:t>1:1.00</w:t>
            </w:r>
          </w:p>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1.00</w:t>
            </w:r>
            <w:r>
              <w:rPr>
                <w:rFonts w:hint="eastAsia" w:ascii="宋体" w:eastAsia="宋体" w:cs="宋体"/>
                <w:color w:val="000000"/>
                <w:kern w:val="0"/>
                <w:sz w:val="24"/>
                <w:szCs w:val="24"/>
              </w:rPr>
              <w:t>～</w:t>
            </w:r>
            <w:r>
              <w:rPr>
                <w:rFonts w:ascii="宋体" w:eastAsia="宋体" w:cs="宋体"/>
                <w:color w:val="000000"/>
                <w:kern w:val="0"/>
                <w:sz w:val="24"/>
                <w:szCs w:val="24"/>
              </w:rPr>
              <w:t>1:1.25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1" w:hRule="exact"/>
        </w:trPr>
        <w:tc>
          <w:tcPr>
            <w:tcW w:w="1668"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黏性土</w:t>
            </w:r>
          </w:p>
        </w:tc>
        <w:tc>
          <w:tcPr>
            <w:tcW w:w="1842" w:type="dxa"/>
            <w:vAlign w:val="center"/>
          </w:tcPr>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坚硬</w:t>
            </w:r>
          </w:p>
          <w:p>
            <w:pPr>
              <w:autoSpaceDE w:val="0"/>
              <w:autoSpaceDN w:val="0"/>
              <w:adjustRightInd w:val="0"/>
              <w:jc w:val="center"/>
              <w:rPr>
                <w:rFonts w:ascii="宋体" w:eastAsia="宋体" w:cs="宋体"/>
                <w:color w:val="000000"/>
                <w:kern w:val="0"/>
                <w:sz w:val="24"/>
                <w:szCs w:val="24"/>
              </w:rPr>
            </w:pPr>
            <w:r>
              <w:rPr>
                <w:rFonts w:hint="eastAsia" w:ascii="宋体" w:eastAsia="宋体" w:cs="宋体"/>
                <w:color w:val="000000"/>
                <w:kern w:val="0"/>
                <w:sz w:val="24"/>
                <w:szCs w:val="24"/>
              </w:rPr>
              <w:t>硬塑</w:t>
            </w:r>
          </w:p>
        </w:tc>
        <w:tc>
          <w:tcPr>
            <w:tcW w:w="2694"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0.75</w:t>
            </w:r>
            <w:r>
              <w:rPr>
                <w:rFonts w:hint="eastAsia" w:ascii="宋体" w:eastAsia="宋体" w:cs="宋体"/>
                <w:color w:val="000000"/>
                <w:kern w:val="0"/>
                <w:sz w:val="24"/>
                <w:szCs w:val="24"/>
              </w:rPr>
              <w:t>～</w:t>
            </w:r>
            <w:r>
              <w:rPr>
                <w:rFonts w:ascii="宋体" w:eastAsia="宋体" w:cs="宋体"/>
                <w:color w:val="000000"/>
                <w:kern w:val="0"/>
                <w:sz w:val="24"/>
                <w:szCs w:val="24"/>
              </w:rPr>
              <w:t>1:1.00</w:t>
            </w:r>
          </w:p>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1.00</w:t>
            </w:r>
            <w:r>
              <w:rPr>
                <w:rFonts w:hint="eastAsia" w:ascii="宋体" w:eastAsia="宋体" w:cs="宋体"/>
                <w:color w:val="000000"/>
                <w:kern w:val="0"/>
                <w:sz w:val="24"/>
                <w:szCs w:val="24"/>
              </w:rPr>
              <w:t>～</w:t>
            </w:r>
            <w:r>
              <w:rPr>
                <w:rFonts w:ascii="宋体" w:eastAsia="宋体" w:cs="宋体"/>
                <w:color w:val="000000"/>
                <w:kern w:val="0"/>
                <w:sz w:val="24"/>
                <w:szCs w:val="24"/>
              </w:rPr>
              <w:t>1:1.25</w:t>
            </w:r>
          </w:p>
        </w:tc>
        <w:tc>
          <w:tcPr>
            <w:tcW w:w="2308" w:type="dxa"/>
            <w:vAlign w:val="center"/>
          </w:tcPr>
          <w:p>
            <w:pPr>
              <w:autoSpaceDE w:val="0"/>
              <w:autoSpaceDN w:val="0"/>
              <w:adjustRightInd w:val="0"/>
              <w:jc w:val="center"/>
              <w:rPr>
                <w:rFonts w:ascii="宋体" w:eastAsia="宋体" w:cs="宋体"/>
                <w:color w:val="000000"/>
                <w:kern w:val="0"/>
                <w:sz w:val="24"/>
                <w:szCs w:val="24"/>
              </w:rPr>
            </w:pPr>
            <w:r>
              <w:rPr>
                <w:rFonts w:ascii="宋体" w:eastAsia="宋体" w:cs="宋体"/>
                <w:color w:val="000000"/>
                <w:kern w:val="0"/>
                <w:sz w:val="24"/>
                <w:szCs w:val="24"/>
              </w:rPr>
              <w:t>1</w:t>
            </w:r>
            <w:r>
              <w:rPr>
                <w:rFonts w:hint="eastAsia" w:ascii="宋体" w:eastAsia="宋体" w:cs="宋体"/>
                <w:color w:val="000000"/>
                <w:kern w:val="0"/>
                <w:sz w:val="24"/>
                <w:szCs w:val="24"/>
              </w:rPr>
              <w:t>：</w:t>
            </w:r>
            <w:r>
              <w:rPr>
                <w:rFonts w:ascii="宋体" w:eastAsia="宋体" w:cs="宋体"/>
                <w:color w:val="000000"/>
                <w:kern w:val="0"/>
                <w:sz w:val="24"/>
                <w:szCs w:val="24"/>
              </w:rPr>
              <w:t>1.00</w:t>
            </w:r>
            <w:r>
              <w:rPr>
                <w:rFonts w:hint="eastAsia" w:ascii="宋体" w:eastAsia="宋体" w:cs="宋体"/>
                <w:color w:val="000000"/>
                <w:kern w:val="0"/>
                <w:sz w:val="24"/>
                <w:szCs w:val="24"/>
              </w:rPr>
              <w:t>～</w:t>
            </w:r>
            <w:r>
              <w:rPr>
                <w:rFonts w:ascii="宋体" w:eastAsia="宋体" w:cs="宋体"/>
                <w:color w:val="000000"/>
                <w:kern w:val="0"/>
                <w:sz w:val="24"/>
                <w:szCs w:val="24"/>
              </w:rPr>
              <w:t>1:1.25 1</w:t>
            </w:r>
            <w:r>
              <w:rPr>
                <w:rFonts w:hint="eastAsia" w:ascii="宋体" w:eastAsia="宋体" w:cs="宋体"/>
                <w:color w:val="000000"/>
                <w:kern w:val="0"/>
                <w:sz w:val="24"/>
                <w:szCs w:val="24"/>
              </w:rPr>
              <w:t>：</w:t>
            </w:r>
            <w:r>
              <w:rPr>
                <w:rFonts w:ascii="宋体" w:eastAsia="宋体" w:cs="宋体"/>
                <w:color w:val="000000"/>
                <w:kern w:val="0"/>
                <w:sz w:val="24"/>
                <w:szCs w:val="24"/>
              </w:rPr>
              <w:t>1.25</w:t>
            </w:r>
            <w:r>
              <w:rPr>
                <w:rFonts w:hint="eastAsia" w:ascii="宋体" w:eastAsia="宋体" w:cs="宋体"/>
                <w:color w:val="000000"/>
                <w:kern w:val="0"/>
                <w:sz w:val="24"/>
                <w:szCs w:val="24"/>
              </w:rPr>
              <w:t>～</w:t>
            </w:r>
            <w:r>
              <w:rPr>
                <w:rFonts w:ascii="宋体" w:eastAsia="宋体" w:cs="宋体"/>
                <w:color w:val="000000"/>
                <w:kern w:val="0"/>
                <w:sz w:val="24"/>
                <w:szCs w:val="24"/>
              </w:rPr>
              <w:t>1:1.50</w:t>
            </w:r>
          </w:p>
        </w:tc>
      </w:tr>
    </w:tbl>
    <w:p>
      <w:pPr>
        <w:spacing w:line="500" w:lineRule="exact"/>
        <w:ind w:firstLine="319" w:firstLineChars="152"/>
        <w:rPr>
          <w:rFonts w:asciiTheme="minorEastAsia" w:hAnsiTheme="minorEastAsia"/>
          <w:szCs w:val="21"/>
        </w:rPr>
      </w:pPr>
      <w:r>
        <w:rPr>
          <w:rFonts w:hint="eastAsia" w:asciiTheme="minorEastAsia" w:hAnsiTheme="minorEastAsia"/>
          <w:szCs w:val="21"/>
        </w:rPr>
        <w:t>注 1. 标准碎石土的填充物坚硬或硬塑状态的黏性土。 2. 对于沙土或填充物为沙土的碎石土，其边坡坡率允许值应按自然休止角确定。</w:t>
      </w:r>
    </w:p>
    <w:p>
      <w:pPr>
        <w:spacing w:before="240" w:line="360" w:lineRule="auto"/>
        <w:outlineLvl w:val="1"/>
        <w:rPr>
          <w:rFonts w:ascii="宋体" w:eastAsia="宋体" w:cs="宋体"/>
          <w:b/>
          <w:kern w:val="0"/>
          <w:sz w:val="24"/>
          <w:szCs w:val="24"/>
        </w:rPr>
      </w:pPr>
      <w:bookmarkStart w:id="37" w:name="_Toc490754502"/>
      <w:r>
        <w:rPr>
          <w:rFonts w:hint="eastAsia" w:ascii="宋体" w:eastAsia="宋体" w:cs="宋体"/>
          <w:b/>
          <w:kern w:val="0"/>
          <w:sz w:val="24"/>
          <w:szCs w:val="24"/>
        </w:rPr>
        <w:t>11.4电缆防火</w:t>
      </w:r>
      <w:bookmarkEnd w:id="37"/>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一般情况下宜选用阻燃电缆，站室电缆沟槽（夹层）、竖井、隧道、管沟等非直埋敷设的电缆，应选用阻燃电缆。</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电缆通道的防火设计</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（1）电缆总体布置的规定。 敷设于电缆支架上的电力电缆，在敷设时应逐根固定在电缆支架上，所有电缆走向按出线仓位顺序排列，电缆相互之间应保持一定间距，不得重叠，尽可能少交叉。 敷设于电缆支架上的通讯线缆，宜放入耐火电缆槽盒并固定。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（2）防火封堵。为了有效防止电缆因短路或外界火源造成电缆引燃或沿电缆延燃，应对电缆及其构筑物采取防火封堵分隔措施。防火墙两侧电缆涂刷防火涂料各1m。 电缆穿越楼板、墙壁或盘柜孔洞以及管道两端时，应用防火堵料封堵。防火封堵材料应密实无气孔，封堵材料厚度不应小于l00mm。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（3）电缆接头的表面阻燃处理。电缆接头应采用防火涂料进行表面阻燃处理，即在接头及其两侧2～3m和相邻电缆上绕包阻燃带或涂刷防火涂料，涂料总厚度应为0.9～1.0mm。</w:t>
      </w:r>
    </w:p>
    <w:p>
      <w:pPr>
        <w:spacing w:before="240" w:line="360" w:lineRule="auto"/>
        <w:outlineLvl w:val="1"/>
        <w:rPr>
          <w:rFonts w:ascii="宋体" w:eastAsia="宋体" w:cs="宋体"/>
          <w:b/>
          <w:kern w:val="0"/>
          <w:sz w:val="24"/>
          <w:szCs w:val="24"/>
        </w:rPr>
      </w:pPr>
      <w:bookmarkStart w:id="38" w:name="_Toc490754503"/>
      <w:r>
        <w:rPr>
          <w:rFonts w:hint="eastAsia" w:ascii="宋体" w:eastAsia="宋体" w:cs="宋体"/>
          <w:b/>
          <w:kern w:val="0"/>
          <w:sz w:val="24"/>
          <w:szCs w:val="24"/>
        </w:rPr>
        <w:t>11.5标志</w:t>
      </w:r>
      <w:bookmarkEnd w:id="38"/>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电缆路径沿途应设置统一的警示带、标识牌、标识桩、标识贴等电力标志。</w:t>
      </w:r>
    </w:p>
    <w:p>
      <w:pPr>
        <w:pStyle w:val="16"/>
        <w:ind w:firstLine="364" w:firstLineChars="152"/>
        <w:rPr>
          <w:rFonts w:asciiTheme="minorEastAsia" w:hAnsiTheme="minorEastAsia" w:eastAsiaTheme="minorEastAsia" w:cstheme="minorBidi"/>
          <w:color w:val="auto"/>
          <w:kern w:val="2"/>
        </w:rPr>
      </w:pPr>
      <w:r>
        <w:rPr>
          <w:rFonts w:hint="eastAsia" w:asciiTheme="minorEastAsia" w:hAnsiTheme="minorEastAsia"/>
        </w:rPr>
        <w:t>11.5.1</w:t>
      </w:r>
      <w:r>
        <w:rPr>
          <w:rFonts w:hint="eastAsia" w:asciiTheme="minorEastAsia" w:hAnsiTheme="minorEastAsia" w:eastAsiaTheme="minorEastAsia" w:cstheme="minorBidi"/>
          <w:color w:val="auto"/>
          <w:kern w:val="2"/>
        </w:rPr>
        <w:t>警示带</w:t>
      </w:r>
      <w:r>
        <w:rPr>
          <w:rFonts w:asciiTheme="minorEastAsia" w:hAnsiTheme="minorEastAsia" w:eastAsiaTheme="minorEastAsia" w:cstheme="minorBidi"/>
          <w:color w:val="auto"/>
          <w:kern w:val="2"/>
        </w:rPr>
        <w:t xml:space="preserve"> </w:t>
      </w:r>
    </w:p>
    <w:p>
      <w:pPr>
        <w:spacing w:line="360" w:lineRule="auto"/>
        <w:ind w:firstLine="364" w:firstLineChars="152"/>
        <w:rPr>
          <w:rFonts w:asciiTheme="minorEastAsia" w:hAnsiTheme="minorEastAsia"/>
          <w:sz w:val="24"/>
          <w:szCs w:val="24"/>
        </w:rPr>
      </w:pPr>
      <w:r>
        <w:rPr>
          <w:rFonts w:hint="eastAsia" w:asciiTheme="minorEastAsia" w:hAnsiTheme="minorEastAsia"/>
          <w:sz w:val="24"/>
          <w:szCs w:val="24"/>
        </w:rPr>
        <w:t>主要用于直埋、排管、电缆沟和隧道敷设电缆的覆土层中。应在外力破坏高风险区域电缆通道宽度范围内两侧设置，如宽度大于</w:t>
      </w:r>
      <w:r>
        <w:rPr>
          <w:rFonts w:asciiTheme="minorEastAsia" w:hAnsiTheme="minorEastAsia"/>
          <w:sz w:val="24"/>
          <w:szCs w:val="24"/>
        </w:rPr>
        <w:t>2m</w:t>
      </w:r>
      <w:r>
        <w:rPr>
          <w:rFonts w:hint="eastAsia" w:asciiTheme="minorEastAsia" w:hAnsiTheme="minorEastAsia"/>
          <w:sz w:val="24"/>
          <w:szCs w:val="24"/>
        </w:rPr>
        <w:t>应增加警示带数量。警示带颜色宜为黄底红字，并需留有服务电话，样式如下：</w:t>
      </w:r>
    </w:p>
    <w:p>
      <w:pPr>
        <w:spacing w:line="360" w:lineRule="auto"/>
        <w:jc w:val="center"/>
        <w:rPr>
          <w:szCs w:val="21"/>
        </w:rPr>
      </w:pPr>
      <w:r>
        <w:drawing>
          <wp:inline distT="0" distB="0" distL="0" distR="0">
            <wp:extent cx="3028315" cy="770890"/>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cstate="print"/>
                    <a:stretch>
                      <a:fillRect/>
                    </a:stretch>
                  </pic:blipFill>
                  <pic:spPr>
                    <a:xfrm>
                      <a:off x="0" y="0"/>
                      <a:ext cx="3028572" cy="771429"/>
                    </a:xfrm>
                    <a:prstGeom prst="rect">
                      <a:avLst/>
                    </a:prstGeom>
                  </pic:spPr>
                </pic:pic>
              </a:graphicData>
            </a:graphic>
          </wp:inline>
        </w:drawing>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 xml:space="preserve">11.5.2标识牌 </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在电缆终端头、电缆接头、拐弯处、夹层内、隧道及竖井的两端、人井内等地方的电缆上应装设标识牌。电缆沟、隧道内电缆本体上，应每间隔50m加挂电缆标识牌。电缆排管进出井口处，加挂电缆标识牌。标识牌的字迹应清晰不易脱落，规格应统一，材质应能防腐，挂装应牢固。并联使用的电缆应有顺序号。 标识牌规格宜为80mm×150mm，白底黑字，在其长边两端打孔。采用塑料扎带、捆绳等非导磁金属材料牢固固定。</w:t>
      </w:r>
    </w:p>
    <w:p>
      <w:pPr>
        <w:spacing w:line="360" w:lineRule="auto"/>
        <w:ind w:firstLine="424" w:firstLineChars="177"/>
        <w:rPr>
          <w:rFonts w:asciiTheme="minorEastAsia" w:hAnsiTheme="minorEastAsia"/>
          <w:sz w:val="24"/>
          <w:szCs w:val="24"/>
        </w:rPr>
      </w:pPr>
      <w:r>
        <w:rPr>
          <w:rFonts w:hint="eastAsia" w:asciiTheme="minorEastAsia" w:hAnsiTheme="minorEastAsia"/>
          <w:sz w:val="24"/>
          <w:szCs w:val="24"/>
        </w:rPr>
        <w:t>电缆终端头标识牌在电杆下线时应绑扎（粘贴）在电缆保护管顶端（电缆保护管宜高2.5米），箱体内电缆终端标识牌绑扎在电缆终端头处。电缆中间接头标识牌置于电缆中间接头两侧1.5米处。电缆终端头和电缆中间接头标识牌样式一样，如下：</w:t>
      </w:r>
    </w:p>
    <w:p>
      <w:pPr>
        <w:spacing w:line="360" w:lineRule="auto"/>
        <w:jc w:val="center"/>
        <w:rPr>
          <w:rFonts w:asciiTheme="minorEastAsia" w:hAnsiTheme="minorEastAsia"/>
          <w:sz w:val="24"/>
          <w:szCs w:val="24"/>
        </w:rPr>
      </w:pPr>
      <w:r>
        <w:drawing>
          <wp:inline distT="0" distB="0" distL="0" distR="0">
            <wp:extent cx="3262630" cy="16002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cstate="print"/>
                    <a:stretch>
                      <a:fillRect/>
                    </a:stretch>
                  </pic:blipFill>
                  <pic:spPr>
                    <a:xfrm>
                      <a:off x="0" y="0"/>
                      <a:ext cx="3267292" cy="1602230"/>
                    </a:xfrm>
                    <a:prstGeom prst="rect">
                      <a:avLst/>
                    </a:prstGeom>
                  </pic:spPr>
                </pic:pic>
              </a:graphicData>
            </a:graphic>
          </wp:inline>
        </w:drawing>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 xml:space="preserve">11.5.3标识桩、标识贴 </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（1）标识桩一般为普通钢筋混泥土预制构件，面喷涂料, 颜色宜为黄底红字。敷设路径起、终点及转弯处，以及直线段每隔20m 应设置一处， 当电缆路径在绿化隔离带、灌木丛等位置时可延至每隔50m 设置一处。样式如下：</w:t>
      </w:r>
    </w:p>
    <w:p>
      <w:pPr>
        <w:spacing w:line="360" w:lineRule="auto"/>
        <w:ind w:firstLine="424" w:firstLineChars="177"/>
        <w:rPr>
          <w:rFonts w:ascii="宋体" w:eastAsia="宋体" w:cs="宋体"/>
          <w:kern w:val="0"/>
          <w:sz w:val="24"/>
          <w:szCs w:val="24"/>
        </w:rPr>
      </w:pPr>
    </w:p>
    <w:p>
      <w:pPr>
        <w:spacing w:line="360" w:lineRule="auto"/>
        <w:jc w:val="center"/>
        <w:rPr>
          <w:rFonts w:ascii="宋体" w:eastAsia="宋体" w:cs="宋体"/>
          <w:kern w:val="0"/>
          <w:sz w:val="24"/>
          <w:szCs w:val="24"/>
        </w:rPr>
      </w:pPr>
      <w:r>
        <w:drawing>
          <wp:inline distT="0" distB="0" distL="0" distR="0">
            <wp:extent cx="1875790" cy="2304415"/>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cstate="print"/>
                    <a:stretch>
                      <a:fillRect/>
                    </a:stretch>
                  </pic:blipFill>
                  <pic:spPr>
                    <a:xfrm>
                      <a:off x="0" y="0"/>
                      <a:ext cx="1876191" cy="2304762"/>
                    </a:xfrm>
                    <a:prstGeom prst="rect">
                      <a:avLst/>
                    </a:prstGeom>
                  </pic:spPr>
                </pic:pic>
              </a:graphicData>
            </a:graphic>
          </wp:inline>
        </w:drawing>
      </w:r>
    </w:p>
    <w:p>
      <w:pPr>
        <w:spacing w:line="360" w:lineRule="auto"/>
        <w:jc w:val="center"/>
        <w:rPr>
          <w:rFonts w:ascii="宋体" w:eastAsia="宋体" w:cs="宋体"/>
          <w:kern w:val="0"/>
          <w:sz w:val="24"/>
          <w:szCs w:val="24"/>
        </w:rPr>
      </w:pPr>
      <w:r>
        <w:rPr>
          <w:rFonts w:hint="eastAsia" w:ascii="宋体" w:eastAsia="宋体" w:cs="宋体"/>
          <w:kern w:val="0"/>
          <w:sz w:val="24"/>
          <w:szCs w:val="24"/>
        </w:rPr>
        <w:t>表11.5-1标识桩参数</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05"/>
        <w:gridCol w:w="41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05" w:type="dxa"/>
            <w:vAlign w:val="center"/>
          </w:tcPr>
          <w:p>
            <w:pPr>
              <w:autoSpaceDE w:val="0"/>
              <w:autoSpaceDN w:val="0"/>
              <w:adjustRightInd w:val="0"/>
              <w:jc w:val="center"/>
              <w:rPr>
                <w:rFonts w:cs="宋体" w:asciiTheme="minorEastAsia" w:hAnsiTheme="minorEastAsia"/>
                <w:color w:val="000000"/>
                <w:kern w:val="0"/>
                <w:sz w:val="24"/>
                <w:szCs w:val="24"/>
              </w:rPr>
            </w:pPr>
          </w:p>
        </w:tc>
        <w:tc>
          <w:tcPr>
            <w:tcW w:w="4105" w:type="dxa"/>
            <w:vAlign w:val="center"/>
          </w:tcPr>
          <w:p>
            <w:pPr>
              <w:pStyle w:val="16"/>
              <w:jc w:val="center"/>
              <w:rPr>
                <w:rFonts w:asciiTheme="minorEastAsia" w:hAnsiTheme="minorEastAsia" w:eastAsiaTheme="minorEastAsia"/>
              </w:rPr>
            </w:pPr>
            <w:r>
              <w:rPr>
                <w:rFonts w:hint="eastAsia" w:asciiTheme="minorEastAsia" w:hAnsiTheme="minorEastAsia" w:eastAsiaTheme="minorEastAsia"/>
              </w:rPr>
              <w:t>参数（</w:t>
            </w:r>
            <w:r>
              <w:rPr>
                <w:rFonts w:asciiTheme="minorEastAsia" w:hAnsiTheme="minorEastAsia" w:eastAsiaTheme="minorEastAsia"/>
              </w:rPr>
              <w:t>mm</w:t>
            </w:r>
            <w:r>
              <w:rPr>
                <w:rFonts w:hint="eastAsia" w:asciiTheme="minorEastAsia" w:hAnsiTheme="minorEastAsia" w:eastAsiaTheme="minorEastAsi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L1</w:t>
            </w:r>
          </w:p>
        </w:tc>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H1</w:t>
            </w:r>
          </w:p>
        </w:tc>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150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H2</w:t>
            </w:r>
          </w:p>
        </w:tc>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250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L</w:t>
            </w:r>
          </w:p>
        </w:tc>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105" w:type="dxa"/>
            <w:vAlign w:val="center"/>
          </w:tcPr>
          <w:p>
            <w:pPr>
              <w:autoSpaceDE w:val="0"/>
              <w:autoSpaceDN w:val="0"/>
              <w:adjustRightInd w:val="0"/>
              <w:jc w:val="center"/>
              <w:rPr>
                <w:rFonts w:cs="Arial" w:asciiTheme="minorEastAsia" w:hAnsiTheme="minorEastAsia"/>
                <w:color w:val="000000"/>
                <w:kern w:val="0"/>
                <w:sz w:val="24"/>
                <w:szCs w:val="24"/>
              </w:rPr>
            </w:pPr>
            <w:r>
              <w:rPr>
                <w:rFonts w:cs="Arial" w:asciiTheme="minorEastAsia" w:hAnsiTheme="minorEastAsia"/>
                <w:color w:val="000000"/>
                <w:kern w:val="0"/>
                <w:sz w:val="24"/>
                <w:szCs w:val="24"/>
              </w:rPr>
              <w:t>α</w:t>
            </w:r>
          </w:p>
        </w:tc>
        <w:tc>
          <w:tcPr>
            <w:tcW w:w="4105" w:type="dxa"/>
            <w:vAlign w:val="center"/>
          </w:tcPr>
          <w:p>
            <w:pPr>
              <w:autoSpaceDE w:val="0"/>
              <w:autoSpaceDN w:val="0"/>
              <w:adjustRightInd w:val="0"/>
              <w:jc w:val="center"/>
              <w:rPr>
                <w:rFonts w:cs="宋体" w:asciiTheme="minorEastAsia" w:hAnsiTheme="minorEastAsia"/>
                <w:color w:val="000000"/>
                <w:kern w:val="0"/>
                <w:sz w:val="24"/>
                <w:szCs w:val="24"/>
              </w:rPr>
            </w:pPr>
            <w:r>
              <w:rPr>
                <w:rFonts w:cs="宋体" w:asciiTheme="minorEastAsia" w:hAnsiTheme="minorEastAsia"/>
                <w:color w:val="000000"/>
                <w:kern w:val="0"/>
                <w:sz w:val="24"/>
                <w:szCs w:val="24"/>
              </w:rPr>
              <w:t>45</w:t>
            </w:r>
            <w:r>
              <w:rPr>
                <w:rFonts w:hint="eastAsia" w:cs="宋体" w:asciiTheme="minorEastAsia" w:hAnsiTheme="minorEastAsia"/>
                <w:color w:val="000000"/>
                <w:kern w:val="0"/>
                <w:sz w:val="24"/>
                <w:szCs w:val="24"/>
              </w:rPr>
              <w:t>°</w:t>
            </w:r>
          </w:p>
        </w:tc>
      </w:tr>
    </w:tbl>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 xml:space="preserve">直埋电缆在人行道、车行道等不能设置高出地面的标志时，可采用平面标识贴。电缆标识贴应牢靠固定于地面，宜选用树脂反光或不锈钢等耐磨损耐腐蚀的材料。树脂反光材料背面用网格地胶固定；不锈钢材料背面做好锚固件。 </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标识贴规格宜为120mm×80mm，形状、大小可根据地面状况适当调整；标识贴上应有电缆线路方向指示，电缆井周围1m范围内，各方向通道上均应设置标识贴，样式如下：</w:t>
      </w:r>
    </w:p>
    <w:p>
      <w:pPr>
        <w:spacing w:line="360" w:lineRule="auto"/>
        <w:jc w:val="center"/>
        <w:rPr>
          <w:rFonts w:ascii="宋体" w:eastAsia="宋体" w:cs="宋体"/>
          <w:kern w:val="0"/>
          <w:sz w:val="24"/>
          <w:szCs w:val="24"/>
        </w:rPr>
      </w:pPr>
      <w:r>
        <w:drawing>
          <wp:inline distT="0" distB="0" distL="0" distR="0">
            <wp:extent cx="2552700" cy="19456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cstate="print">
                      <a:extLst>
                        <a:ext uri="{28A0092B-C50C-407E-A947-70E740481C1C}">
                          <a14:useLocalDpi xmlns:a14="http://schemas.microsoft.com/office/drawing/2010/main" val="0"/>
                        </a:ext>
                      </a:extLst>
                    </a:blip>
                    <a:srcRect l="11219" r="10254"/>
                    <a:stretch>
                      <a:fillRect/>
                    </a:stretch>
                  </pic:blipFill>
                  <pic:spPr>
                    <a:xfrm>
                      <a:off x="0" y="0"/>
                      <a:ext cx="2622763" cy="1999215"/>
                    </a:xfrm>
                    <a:prstGeom prst="rect">
                      <a:avLst/>
                    </a:prstGeom>
                    <a:ln>
                      <a:noFill/>
                    </a:ln>
                  </pic:spPr>
                </pic:pic>
              </a:graphicData>
            </a:graphic>
          </wp:inline>
        </w:drawing>
      </w:r>
    </w:p>
    <w:p>
      <w:pPr>
        <w:spacing w:before="240" w:line="360" w:lineRule="auto"/>
        <w:outlineLvl w:val="0"/>
        <w:rPr>
          <w:rFonts w:ascii="宋体" w:eastAsia="宋体" w:cs="宋体"/>
          <w:b/>
          <w:kern w:val="0"/>
          <w:sz w:val="24"/>
          <w:szCs w:val="24"/>
        </w:rPr>
      </w:pPr>
      <w:bookmarkStart w:id="39" w:name="_Toc490754504"/>
      <w:r>
        <w:rPr>
          <w:rFonts w:hint="eastAsia" w:ascii="宋体" w:eastAsia="宋体" w:cs="宋体"/>
          <w:b/>
          <w:kern w:val="0"/>
          <w:sz w:val="24"/>
          <w:szCs w:val="24"/>
        </w:rPr>
        <w:t>十二</w:t>
      </w:r>
      <w:r>
        <w:rPr>
          <w:rFonts w:ascii="宋体" w:eastAsia="宋体" w:cs="宋体"/>
          <w:b/>
          <w:kern w:val="0"/>
          <w:sz w:val="24"/>
          <w:szCs w:val="24"/>
        </w:rPr>
        <w:t>、</w:t>
      </w:r>
      <w:r>
        <w:rPr>
          <w:rFonts w:hint="eastAsia" w:ascii="宋体" w:eastAsia="宋体" w:cs="宋体"/>
          <w:b/>
          <w:kern w:val="0"/>
          <w:sz w:val="24"/>
          <w:szCs w:val="24"/>
        </w:rPr>
        <w:t>其他注意事项</w:t>
      </w:r>
      <w:bookmarkEnd w:id="39"/>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12.1应按照相关规范的施工工艺进行安装，工程完工后应符合相关运行规程中运行规定。</w:t>
      </w:r>
    </w:p>
    <w:p>
      <w:pPr>
        <w:spacing w:line="360" w:lineRule="auto"/>
        <w:ind w:firstLine="424" w:firstLineChars="177"/>
        <w:rPr>
          <w:rFonts w:ascii="宋体" w:eastAsia="宋体" w:cs="宋体"/>
          <w:kern w:val="0"/>
          <w:sz w:val="24"/>
          <w:szCs w:val="24"/>
        </w:rPr>
      </w:pPr>
      <w:r>
        <w:rPr>
          <w:rFonts w:ascii="宋体" w:eastAsia="宋体" w:cs="宋体"/>
          <w:kern w:val="0"/>
          <w:sz w:val="24"/>
          <w:szCs w:val="24"/>
        </w:rPr>
        <w:t>12.2</w:t>
      </w:r>
      <w:r>
        <w:rPr>
          <w:rFonts w:hint="eastAsia" w:ascii="宋体" w:eastAsia="宋体" w:cs="宋体"/>
          <w:kern w:val="0"/>
          <w:sz w:val="24"/>
          <w:szCs w:val="24"/>
        </w:rPr>
        <w:t>本工程线路相序由施工队根据现有10kV线路网络实际情况进行核对，相序正确后才连接线路。</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12.3当接地电阻值不能满足要求时；可采用水平接地和垂直接地相接合的方式，垂直打入接地体再水平敷设圆钢接地网；接地网采用Ф12圆钢，埋设深度不应小于0.6米。</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12.4水泥杆坑开挖不应采用大面积爆破作业，以保证原有地基的稳定性。</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12.5所有接地线，拉杆等入土部分，需进行“三布四油”防锈处理。</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12.6应严格按照架空配电线路验收规范组织施工、验收。</w:t>
      </w:r>
    </w:p>
    <w:p>
      <w:pPr>
        <w:spacing w:line="360" w:lineRule="auto"/>
        <w:ind w:firstLine="424" w:firstLineChars="177"/>
        <w:rPr>
          <w:rFonts w:ascii="宋体" w:eastAsia="宋体" w:cs="宋体"/>
          <w:kern w:val="0"/>
          <w:sz w:val="24"/>
          <w:szCs w:val="24"/>
        </w:rPr>
      </w:pPr>
      <w:r>
        <w:rPr>
          <w:rFonts w:hint="eastAsia" w:ascii="宋体" w:eastAsia="宋体" w:cs="宋体"/>
          <w:kern w:val="0"/>
          <w:sz w:val="24"/>
          <w:szCs w:val="24"/>
        </w:rPr>
        <w:t>12.7施工过程中，如发现设计图纸与现场实际情况不符或设计有误，应及时通知设计单位，以便及时更改设计。</w:t>
      </w:r>
    </w:p>
    <w:p>
      <w:pPr>
        <w:spacing w:line="360" w:lineRule="auto"/>
        <w:ind w:firstLine="424" w:firstLineChars="177"/>
        <w:rPr>
          <w:rFonts w:ascii="宋体" w:eastAsia="宋体" w:cs="宋体"/>
          <w:kern w:val="0"/>
          <w:sz w:val="24"/>
          <w:szCs w:val="24"/>
        </w:rPr>
      </w:pPr>
    </w:p>
    <w:p>
      <w:pPr>
        <w:spacing w:line="360" w:lineRule="auto"/>
        <w:ind w:firstLine="424" w:firstLineChars="177"/>
        <w:rPr>
          <w:rFonts w:ascii="宋体" w:eastAsia="宋体" w:cs="宋体"/>
          <w:kern w:val="0"/>
          <w:sz w:val="24"/>
          <w:szCs w:val="24"/>
        </w:rPr>
      </w:pPr>
    </w:p>
    <w:p>
      <w:pPr>
        <w:spacing w:line="360" w:lineRule="auto"/>
        <w:ind w:firstLine="424" w:firstLineChars="177"/>
        <w:rPr>
          <w:rFonts w:ascii="宋体" w:eastAsia="宋体" w:cs="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华文仿宋">
    <w:panose1 w:val="02010600040101010101"/>
    <w:charset w:val="86"/>
    <w:family w:val="auto"/>
    <w:pitch w:val="default"/>
    <w:sig w:usb0="00000287" w:usb1="080F0000" w:usb2="00000000" w:usb3="00000000" w:csb0="0004009F" w:csb1="DFD70000"/>
  </w:font>
  <w:font w:name="TimesNewRomanPSMT">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114501"/>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114501"/>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hint="eastAsia" w:asciiTheme="minorHAnsi" w:hAnsiTheme="minorHAnsi" w:eastAsiaTheme="minorEastAsia" w:cstheme="minorBidi"/>
        <w:kern w:val="2"/>
        <w:sz w:val="18"/>
        <w:szCs w:val="18"/>
        <w:lang w:val="en-US" w:eastAsia="zh-CN" w:bidi="ar-SA"/>
      </w:rPr>
    </w:pPr>
    <w:r>
      <w:rPr>
        <w:rFonts w:hint="eastAsia" w:asciiTheme="minorHAnsi" w:hAnsiTheme="minorHAnsi" w:eastAsiaTheme="minorEastAsia" w:cstheme="minorBidi"/>
        <w:kern w:val="2"/>
        <w:sz w:val="18"/>
        <w:szCs w:val="18"/>
        <w:lang w:val="en-US" w:eastAsia="zh-CN" w:bidi="ar-SA"/>
      </w:rPr>
      <w:t>神仙桥产业园能源综合利用项目送出工程</w:t>
    </w:r>
    <w:r>
      <w:rPr>
        <w:rFonts w:hint="eastAsia" w:cstheme="minorBidi"/>
        <w:kern w:val="2"/>
        <w:sz w:val="18"/>
        <w:szCs w:val="18"/>
        <w:lang w:val="en-US" w:eastAsia="zh-CN" w:bidi="ar-SA"/>
      </w:rPr>
      <w:t xml:space="preserve">                                         </w:t>
    </w:r>
    <w:r>
      <w:rPr>
        <w:rFonts w:hint="eastAsia" w:asciiTheme="minorHAnsi" w:hAnsiTheme="minorHAnsi" w:eastAsiaTheme="minorEastAsia" w:cstheme="minorBidi"/>
        <w:kern w:val="2"/>
        <w:sz w:val="18"/>
        <w:szCs w:val="18"/>
        <w:lang w:val="en-US" w:eastAsia="zh-CN" w:bidi="ar-SA"/>
      </w:rPr>
      <w:t xml:space="preserve"> 设计总说明书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rPr>
        <w:rFonts w:hint="eastAsia" w:asciiTheme="minorHAnsi" w:hAnsiTheme="minorHAnsi" w:eastAsiaTheme="minorEastAsia" w:cstheme="minorBidi"/>
        <w:kern w:val="2"/>
        <w:sz w:val="18"/>
        <w:szCs w:val="18"/>
        <w:lang w:val="en-US" w:eastAsia="zh-CN" w:bidi="ar-SA"/>
      </w:rPr>
    </w:pPr>
    <w:r>
      <w:rPr>
        <w:rFonts w:hint="eastAsia" w:asciiTheme="minorHAnsi" w:hAnsiTheme="minorHAnsi" w:eastAsiaTheme="minorEastAsia" w:cstheme="minorBidi"/>
        <w:kern w:val="2"/>
        <w:sz w:val="18"/>
        <w:szCs w:val="18"/>
        <w:lang w:val="en-US" w:eastAsia="zh-CN" w:bidi="ar-SA"/>
      </w:rPr>
      <w:t>二环路建设龙马潭连接线10kV及以下电力线路迁改工程</w:t>
    </w:r>
    <w:r>
      <w:rPr>
        <w:rFonts w:hint="eastAsia" w:cstheme="minorBidi"/>
        <w:kern w:val="2"/>
        <w:sz w:val="18"/>
        <w:szCs w:val="18"/>
        <w:lang w:val="en-US" w:eastAsia="zh-CN" w:bidi="ar-SA"/>
      </w:rPr>
      <w:t xml:space="preserve">          </w:t>
    </w:r>
    <w:r>
      <w:rPr>
        <w:rFonts w:hint="eastAsia"/>
      </w:rPr>
      <w:t xml:space="preserve">        </w:t>
    </w:r>
    <w:r>
      <w:rPr>
        <w:rFonts w:hint="eastAsia" w:asciiTheme="minorHAnsi" w:hAnsiTheme="minorHAnsi" w:eastAsiaTheme="minorEastAsia" w:cstheme="minorBidi"/>
        <w:kern w:val="2"/>
        <w:sz w:val="18"/>
        <w:szCs w:val="18"/>
        <w:lang w:val="en-US" w:eastAsia="zh-CN" w:bidi="ar-SA"/>
      </w:rPr>
      <w:t xml:space="preserve">      设计总说明书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I5YjZhNjM3YzIzYTRiZTk0MDMxMzA4Njk5YTk3M2MifQ=="/>
  </w:docVars>
  <w:rsids>
    <w:rsidRoot w:val="003F4AC5"/>
    <w:rsid w:val="0017400F"/>
    <w:rsid w:val="001A6232"/>
    <w:rsid w:val="001C1156"/>
    <w:rsid w:val="001C3DC6"/>
    <w:rsid w:val="002A53D7"/>
    <w:rsid w:val="002B6F5F"/>
    <w:rsid w:val="002F45F4"/>
    <w:rsid w:val="00304E25"/>
    <w:rsid w:val="00365022"/>
    <w:rsid w:val="003F4AC5"/>
    <w:rsid w:val="00426C8E"/>
    <w:rsid w:val="0044359F"/>
    <w:rsid w:val="00447BD7"/>
    <w:rsid w:val="004828A9"/>
    <w:rsid w:val="00572E0A"/>
    <w:rsid w:val="005B1451"/>
    <w:rsid w:val="005C22AA"/>
    <w:rsid w:val="005F7584"/>
    <w:rsid w:val="007E09EA"/>
    <w:rsid w:val="00811DA7"/>
    <w:rsid w:val="008346C7"/>
    <w:rsid w:val="00854EA8"/>
    <w:rsid w:val="008602C3"/>
    <w:rsid w:val="008A0B2D"/>
    <w:rsid w:val="008A7CD6"/>
    <w:rsid w:val="008C007E"/>
    <w:rsid w:val="008C637C"/>
    <w:rsid w:val="009105A8"/>
    <w:rsid w:val="00924B19"/>
    <w:rsid w:val="009E3F0B"/>
    <w:rsid w:val="00A253BF"/>
    <w:rsid w:val="00A93068"/>
    <w:rsid w:val="00B45E98"/>
    <w:rsid w:val="00B63546"/>
    <w:rsid w:val="00C2769E"/>
    <w:rsid w:val="00C73B51"/>
    <w:rsid w:val="00D37515"/>
    <w:rsid w:val="00E67E23"/>
    <w:rsid w:val="00E82F3E"/>
    <w:rsid w:val="00E83615"/>
    <w:rsid w:val="00ED22F6"/>
    <w:rsid w:val="00F7524A"/>
    <w:rsid w:val="00F75E11"/>
    <w:rsid w:val="00FA4FAD"/>
    <w:rsid w:val="00FB488C"/>
    <w:rsid w:val="00FE41A6"/>
    <w:rsid w:val="0A2B1A0A"/>
    <w:rsid w:val="116A2A0D"/>
    <w:rsid w:val="172B79DB"/>
    <w:rsid w:val="30A147E1"/>
    <w:rsid w:val="34F15E3B"/>
    <w:rsid w:val="3F966C0E"/>
    <w:rsid w:val="51D258B2"/>
    <w:rsid w:val="6504034F"/>
    <w:rsid w:val="79266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9"/>
    <w:qFormat/>
    <w:uiPriority w:val="9"/>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正文1"/>
    <w:next w:val="3"/>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3">
    <w:name w:val="正文-公1"/>
    <w:basedOn w:val="1"/>
    <w:qFormat/>
    <w:uiPriority w:val="99"/>
  </w:style>
  <w:style w:type="paragraph" w:styleId="5">
    <w:name w:val="Normal Indent"/>
    <w:basedOn w:val="1"/>
    <w:next w:val="1"/>
    <w:qFormat/>
    <w:uiPriority w:val="0"/>
    <w:pPr>
      <w:spacing w:line="567" w:lineRule="exact"/>
      <w:ind w:firstLine="200" w:firstLineChars="200"/>
    </w:pPr>
    <w:rPr>
      <w:rFonts w:ascii="宋体"/>
      <w:kern w:val="21"/>
      <w:sz w:val="28"/>
    </w:rPr>
  </w:style>
  <w:style w:type="paragraph" w:styleId="6">
    <w:name w:val="toc 3"/>
    <w:basedOn w:val="1"/>
    <w:next w:val="1"/>
    <w:unhideWhenUsed/>
    <w:qFormat/>
    <w:uiPriority w:val="39"/>
    <w:pPr>
      <w:ind w:left="840" w:leftChars="400"/>
    </w:pPr>
  </w:style>
  <w:style w:type="paragraph" w:styleId="7">
    <w:name w:val="Balloon Text"/>
    <w:basedOn w:val="1"/>
    <w:link w:val="22"/>
    <w:semiHidden/>
    <w:unhideWhenUsed/>
    <w:qFormat/>
    <w:uiPriority w:val="99"/>
    <w:rPr>
      <w:sz w:val="18"/>
      <w:szCs w:val="18"/>
    </w:rPr>
  </w:style>
  <w:style w:type="paragraph" w:styleId="8">
    <w:name w:val="footer"/>
    <w:basedOn w:val="1"/>
    <w:link w:val="17"/>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unhideWhenUsed/>
    <w:qFormat/>
    <w:uiPriority w:val="99"/>
    <w:rPr>
      <w:color w:val="0563C1" w:themeColor="hyperlink"/>
      <w:u w:val="single"/>
    </w:rPr>
  </w:style>
  <w:style w:type="paragraph" w:customStyle="1" w:styleId="16">
    <w:name w:val="Default"/>
    <w:qFormat/>
    <w:uiPriority w:val="99"/>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7">
    <w:name w:val="页脚 Char"/>
    <w:link w:val="8"/>
    <w:qFormat/>
    <w:uiPriority w:val="99"/>
    <w:rPr>
      <w:sz w:val="18"/>
      <w:szCs w:val="18"/>
    </w:rPr>
  </w:style>
  <w:style w:type="character" w:customStyle="1" w:styleId="18">
    <w:name w:val="页脚 Char1"/>
    <w:basedOn w:val="14"/>
    <w:semiHidden/>
    <w:qFormat/>
    <w:uiPriority w:val="99"/>
    <w:rPr>
      <w:sz w:val="18"/>
      <w:szCs w:val="18"/>
    </w:rPr>
  </w:style>
  <w:style w:type="character" w:customStyle="1" w:styleId="19">
    <w:name w:val="标题 1 Char"/>
    <w:basedOn w:val="14"/>
    <w:link w:val="4"/>
    <w:qFormat/>
    <w:uiPriority w:val="9"/>
    <w:rPr>
      <w:b/>
      <w:bCs/>
      <w:kern w:val="44"/>
      <w:sz w:val="44"/>
      <w:szCs w:val="44"/>
    </w:rPr>
  </w:style>
  <w:style w:type="paragraph" w:customStyle="1" w:styleId="20">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1">
    <w:name w:val="页眉 Char"/>
    <w:basedOn w:val="14"/>
    <w:link w:val="9"/>
    <w:qFormat/>
    <w:uiPriority w:val="99"/>
    <w:rPr>
      <w:sz w:val="18"/>
      <w:szCs w:val="18"/>
    </w:rPr>
  </w:style>
  <w:style w:type="character" w:customStyle="1" w:styleId="22">
    <w:name w:val="批注框文本 Char"/>
    <w:basedOn w:val="14"/>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FCC096-26D1-45C7-A61E-71B813CE316D}">
  <ds:schemaRefs/>
</ds:datastoreItem>
</file>

<file path=docProps/app.xml><?xml version="1.0" encoding="utf-8"?>
<Properties xmlns="http://schemas.openxmlformats.org/officeDocument/2006/extended-properties" xmlns:vt="http://schemas.openxmlformats.org/officeDocument/2006/docPropsVTypes">
  <Template>Normal</Template>
  <Company>乐山城电-泸州</Company>
  <Pages>22</Pages>
  <Words>8956</Words>
  <Characters>10761</Characters>
  <Lines>102</Lines>
  <Paragraphs>28</Paragraphs>
  <TotalTime>0</TotalTime>
  <ScaleCrop>false</ScaleCrop>
  <LinksUpToDate>false</LinksUpToDate>
  <CharactersWithSpaces>11201</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2017-08-17T04:54:00Z</dcterms:created>
  <dc:creator>樊彬</dc:creator>
  <cp:lastModifiedBy>H-Lee.</cp:lastModifiedBy>
  <dcterms:modified xsi:type="dcterms:W3CDTF">2023-09-01T01:56:47Z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7E8F515863514BF48D26FB1A7DA83D54_12</vt:lpwstr>
  </property>
</Properties>
</file>