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pageBreakBefore w:val="0"/>
        <w:kinsoku/>
        <w:wordWrap/>
        <w:overflowPunct/>
        <w:topLinePunct w:val="0"/>
        <w:bidi w:val="0"/>
        <w:spacing w:line="460" w:lineRule="exact"/>
        <w:rPr>
          <w:rFonts w:hint="default" w:ascii="Times New Roman" w:hAnsi="Times New Roman" w:eastAsia="方正黑体_GBK" w:cs="Times New Roman"/>
          <w:b w:val="0"/>
          <w:bCs w:val="0"/>
          <w:sz w:val="28"/>
          <w:szCs w:val="28"/>
          <w:lang w:val="en-US" w:eastAsia="zh-CN"/>
        </w:rPr>
      </w:pPr>
      <w:r>
        <w:rPr>
          <w:rFonts w:hint="default" w:ascii="Times New Roman" w:hAnsi="Times New Roman" w:eastAsia="方正黑体_GBK" w:cs="Times New Roman"/>
          <w:b w:val="0"/>
          <w:bCs w:val="0"/>
          <w:sz w:val="28"/>
          <w:szCs w:val="28"/>
        </w:rPr>
        <w:t>附件</w:t>
      </w:r>
      <w:r>
        <w:rPr>
          <w:rFonts w:hint="eastAsia" w:ascii="Times New Roman" w:hAnsi="Times New Roman" w:eastAsia="方正黑体_GBK" w:cs="Times New Roman"/>
          <w:b w:val="0"/>
          <w:bCs w:val="0"/>
          <w:sz w:val="28"/>
          <w:szCs w:val="28"/>
          <w:lang w:val="en-US" w:eastAsia="zh-CN"/>
        </w:rPr>
        <w:t>3</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cs="Times New Roman"/>
          <w:b/>
          <w:color w:val="auto"/>
          <w:kern w:val="2"/>
          <w:sz w:val="52"/>
          <w:szCs w:val="22"/>
          <w:u w:val="none"/>
          <w:lang w:val="zh-CN"/>
        </w:rPr>
      </w:pPr>
      <w:r>
        <w:rPr>
          <w:rFonts w:hint="default" w:ascii="Times New Roman" w:hAnsi="Times New Roman" w:cs="Times New Roman"/>
          <w:b/>
          <w:color w:val="auto"/>
          <w:kern w:val="2"/>
          <w:sz w:val="52"/>
          <w:szCs w:val="22"/>
          <w:u w:val="none"/>
          <w:lang w:val="zh-CN"/>
        </w:rPr>
        <w:t>泸县经开区神仙桥产业园</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cs="Times New Roman"/>
          <w:b/>
          <w:color w:val="auto"/>
          <w:kern w:val="2"/>
          <w:sz w:val="52"/>
          <w:szCs w:val="22"/>
          <w:u w:val="none"/>
          <w:lang w:val="zh-CN" w:eastAsia="zh-CN"/>
        </w:rPr>
      </w:pPr>
      <w:r>
        <w:rPr>
          <w:rFonts w:hint="default" w:ascii="Times New Roman" w:hAnsi="Times New Roman" w:cs="Times New Roman"/>
          <w:b/>
          <w:color w:val="auto"/>
          <w:kern w:val="2"/>
          <w:sz w:val="52"/>
          <w:szCs w:val="22"/>
          <w:u w:val="none"/>
          <w:lang w:val="zh-CN"/>
        </w:rPr>
        <w:t>能源综合利用项目</w:t>
      </w:r>
      <w:r>
        <w:rPr>
          <w:rFonts w:hint="default" w:ascii="Times New Roman" w:hAnsi="Times New Roman" w:cs="Times New Roman"/>
          <w:b/>
          <w:color w:val="auto"/>
          <w:kern w:val="2"/>
          <w:sz w:val="52"/>
          <w:szCs w:val="22"/>
          <w:u w:val="none"/>
          <w:lang w:val="en-US" w:eastAsia="zh-CN"/>
        </w:rPr>
        <w:t>低压开关柜</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cs="Times New Roman"/>
          <w:b/>
          <w:color w:val="auto"/>
          <w:kern w:val="2"/>
          <w:sz w:val="52"/>
          <w:szCs w:val="22"/>
          <w:u w:val="none"/>
          <w:lang w:val="zh-CN"/>
        </w:rPr>
      </w:pPr>
      <w:r>
        <w:rPr>
          <w:rFonts w:hint="default" w:ascii="Times New Roman" w:hAnsi="Times New Roman" w:cs="Times New Roman"/>
          <w:b/>
          <w:color w:val="auto"/>
          <w:kern w:val="2"/>
          <w:sz w:val="52"/>
          <w:szCs w:val="22"/>
          <w:u w:val="none"/>
          <w:lang w:val="zh-CN"/>
        </w:rPr>
        <w:t>技术规范书</w:t>
      </w: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cs="Times New Roman"/>
        </w:rPr>
      </w:pPr>
    </w:p>
    <w:p>
      <w:pPr>
        <w:pStyle w:val="13"/>
        <w:pageBreakBefore w:val="0"/>
        <w:kinsoku/>
        <w:wordWrap/>
        <w:overflowPunct/>
        <w:topLinePunct w:val="0"/>
        <w:bidi w:val="0"/>
        <w:spacing w:line="460" w:lineRule="exact"/>
        <w:rPr>
          <w:rFonts w:hint="default" w:ascii="Times New Roman" w:hAnsi="Times New Roman" w:cs="Times New Roman"/>
        </w:rPr>
      </w:pPr>
    </w:p>
    <w:p>
      <w:pPr>
        <w:pageBreakBefore w:val="0"/>
        <w:kinsoku/>
        <w:wordWrap/>
        <w:overflowPunct/>
        <w:topLinePunct w:val="0"/>
        <w:bidi w:val="0"/>
        <w:spacing w:line="460" w:lineRule="exact"/>
        <w:rPr>
          <w:rFonts w:hint="default" w:ascii="Times New Roman" w:hAnsi="Times New Roman" w:eastAsia="等线" w:cs="Times New Roman"/>
          <w:lang w:eastAsia="zh-CN"/>
        </w:rPr>
      </w:pPr>
    </w:p>
    <w:p>
      <w:pPr>
        <w:pageBreakBefore w:val="0"/>
        <w:kinsoku/>
        <w:wordWrap/>
        <w:overflowPunct/>
        <w:topLinePunct w:val="0"/>
        <w:bidi w:val="0"/>
        <w:spacing w:line="460" w:lineRule="exact"/>
        <w:rPr>
          <w:rFonts w:hint="default" w:ascii="Times New Roman" w:hAnsi="Times New Roman" w:cs="Times New Roman"/>
        </w:rPr>
      </w:pPr>
    </w:p>
    <w:p>
      <w:pPr>
        <w:pStyle w:val="14"/>
        <w:pageBreakBefore w:val="0"/>
        <w:kinsoku/>
        <w:wordWrap/>
        <w:overflowPunct/>
        <w:topLinePunct w:val="0"/>
        <w:bidi w:val="0"/>
        <w:spacing w:line="460" w:lineRule="exact"/>
        <w:rPr>
          <w:rFonts w:hint="default" w:ascii="Times New Roman" w:hAnsi="Times New Roman" w:cs="Times New Roman"/>
        </w:rPr>
      </w:pPr>
    </w:p>
    <w:p>
      <w:pPr>
        <w:pStyle w:val="14"/>
        <w:pageBreakBefore w:val="0"/>
        <w:kinsoku/>
        <w:wordWrap/>
        <w:overflowPunct/>
        <w:topLinePunct w:val="0"/>
        <w:bidi w:val="0"/>
        <w:spacing w:line="460" w:lineRule="exact"/>
        <w:rPr>
          <w:rFonts w:hint="default" w:ascii="Times New Roman" w:hAnsi="Times New Roman" w:cs="Times New Roman"/>
        </w:rPr>
      </w:pPr>
    </w:p>
    <w:p>
      <w:pPr>
        <w:pStyle w:val="14"/>
        <w:pageBreakBefore w:val="0"/>
        <w:kinsoku/>
        <w:wordWrap/>
        <w:overflowPunct/>
        <w:topLinePunct w:val="0"/>
        <w:bidi w:val="0"/>
        <w:spacing w:line="460" w:lineRule="exact"/>
        <w:rPr>
          <w:rFonts w:hint="default" w:ascii="Times New Roman" w:hAnsi="Times New Roman" w:cs="Times New Roman"/>
        </w:rPr>
      </w:pPr>
    </w:p>
    <w:p>
      <w:pPr>
        <w:pStyle w:val="14"/>
        <w:pageBreakBefore w:val="0"/>
        <w:kinsoku/>
        <w:wordWrap/>
        <w:overflowPunct/>
        <w:topLinePunct w:val="0"/>
        <w:bidi w:val="0"/>
        <w:spacing w:line="460" w:lineRule="exact"/>
        <w:rPr>
          <w:rFonts w:hint="default" w:ascii="Times New Roman" w:hAnsi="Times New Roman" w:cs="Times New Roman"/>
        </w:rPr>
      </w:pPr>
    </w:p>
    <w:p>
      <w:pPr>
        <w:pStyle w:val="14"/>
        <w:pageBreakBefore w:val="0"/>
        <w:kinsoku/>
        <w:wordWrap/>
        <w:overflowPunct/>
        <w:topLinePunct w:val="0"/>
        <w:bidi w:val="0"/>
        <w:spacing w:line="460" w:lineRule="exact"/>
        <w:rPr>
          <w:rFonts w:hint="default" w:ascii="Times New Roman" w:hAnsi="Times New Roman" w:cs="Times New Roman"/>
        </w:rPr>
      </w:pPr>
    </w:p>
    <w:p>
      <w:pPr>
        <w:pStyle w:val="14"/>
        <w:pageBreakBefore w:val="0"/>
        <w:kinsoku/>
        <w:wordWrap/>
        <w:overflowPunct/>
        <w:topLinePunct w:val="0"/>
        <w:bidi w:val="0"/>
        <w:spacing w:line="460" w:lineRule="exact"/>
        <w:rPr>
          <w:rFonts w:hint="default" w:ascii="Times New Roman" w:hAnsi="Times New Roman" w:cs="Times New Roman"/>
        </w:rPr>
      </w:pPr>
    </w:p>
    <w:p>
      <w:pPr>
        <w:pStyle w:val="14"/>
        <w:pageBreakBefore w:val="0"/>
        <w:kinsoku/>
        <w:wordWrap/>
        <w:overflowPunct/>
        <w:topLinePunct w:val="0"/>
        <w:bidi w:val="0"/>
        <w:spacing w:line="460" w:lineRule="exact"/>
        <w:jc w:val="both"/>
        <w:rPr>
          <w:rFonts w:hint="default" w:ascii="Times New Roman" w:hAnsi="Times New Roman" w:cs="Times New Roman"/>
        </w:rPr>
      </w:pPr>
      <w:bookmarkStart w:id="89" w:name="_GoBack"/>
      <w:bookmarkEnd w:id="89"/>
    </w:p>
    <w:p>
      <w:pPr>
        <w:pStyle w:val="14"/>
        <w:pageBreakBefore w:val="0"/>
        <w:kinsoku/>
        <w:wordWrap/>
        <w:overflowPunct/>
        <w:topLinePunct w:val="0"/>
        <w:bidi w:val="0"/>
        <w:spacing w:line="460" w:lineRule="exact"/>
        <w:rPr>
          <w:rFonts w:hint="default" w:ascii="Times New Roman" w:hAnsi="Times New Roman" w:cs="Times New Roman"/>
        </w:rPr>
      </w:pPr>
      <w:r>
        <w:rPr>
          <w:rFonts w:hint="default" w:ascii="Times New Roman" w:hAnsi="Times New Roman" w:cs="Times New Roman"/>
          <w:spacing w:val="20"/>
          <w:sz w:val="32"/>
          <w:lang w:val="en-US" w:eastAsia="zh-CN"/>
        </w:rPr>
        <w:t>2023年9月</w:t>
      </w:r>
      <w:r>
        <w:rPr>
          <w:rFonts w:hint="eastAsia" w:ascii="Times New Roman" w:hAnsi="Times New Roman" w:cs="Times New Roman"/>
          <w:spacing w:val="20"/>
          <w:sz w:val="32"/>
          <w:lang w:val="en-US" w:eastAsia="zh-CN"/>
        </w:rPr>
        <w:t>1</w:t>
      </w:r>
      <w:r>
        <w:rPr>
          <w:rFonts w:hint="default" w:ascii="Times New Roman" w:hAnsi="Times New Roman" w:cs="Times New Roman"/>
          <w:spacing w:val="20"/>
          <w:sz w:val="32"/>
          <w:lang w:val="en-US" w:eastAsia="zh-CN"/>
        </w:rPr>
        <w:t>日</w:t>
      </w:r>
    </w:p>
    <w:p>
      <w:pPr>
        <w:pStyle w:val="6"/>
        <w:pageBreakBefore w:val="0"/>
        <w:kinsoku/>
        <w:wordWrap/>
        <w:overflowPunct/>
        <w:topLinePunct w:val="0"/>
        <w:bidi w:val="0"/>
        <w:spacing w:line="460" w:lineRule="exact"/>
        <w:rPr>
          <w:rFonts w:hint="default" w:ascii="Times New Roman" w:hAnsi="Times New Roman" w:cs="Times New Roman"/>
        </w:rPr>
      </w:pPr>
    </w:p>
    <w:p>
      <w:pPr>
        <w:keepNext w:val="0"/>
        <w:keepLines w:val="0"/>
        <w:pageBreakBefore w:val="0"/>
        <w:kinsoku/>
        <w:wordWrap/>
        <w:overflowPunct/>
        <w:topLinePunct w:val="0"/>
        <w:bidi w:val="0"/>
        <w:adjustRightInd w:val="0"/>
        <w:snapToGrid w:val="0"/>
        <w:spacing w:line="460" w:lineRule="exact"/>
        <w:rPr>
          <w:rFonts w:hint="default" w:ascii="Times New Roman" w:hAnsi="Times New Roman" w:cs="Times New Roman"/>
          <w:b/>
          <w:bCs/>
          <w:smallCaps w:val="0"/>
          <w:sz w:val="24"/>
          <w:szCs w:val="28"/>
        </w:rPr>
      </w:pPr>
    </w:p>
    <w:p>
      <w:pPr>
        <w:keepNext w:val="0"/>
        <w:keepLines w:val="0"/>
        <w:pageBreakBefore w:val="0"/>
        <w:kinsoku/>
        <w:wordWrap/>
        <w:overflowPunct/>
        <w:topLinePunct w:val="0"/>
        <w:bidi w:val="0"/>
        <w:adjustRightInd w:val="0"/>
        <w:snapToGrid w:val="0"/>
        <w:spacing w:line="460" w:lineRule="exact"/>
        <w:ind w:firstLine="482" w:firstLineChars="200"/>
        <w:rPr>
          <w:rFonts w:hint="default" w:ascii="Times New Roman" w:hAnsi="Times New Roman" w:eastAsia="方正仿宋_GBK" w:cs="Times New Roman"/>
          <w:b/>
          <w:bCs/>
          <w:smallCaps w:val="0"/>
          <w:sz w:val="24"/>
          <w:szCs w:val="28"/>
        </w:rPr>
      </w:pPr>
      <w:r>
        <w:rPr>
          <w:rFonts w:hint="default" w:ascii="Times New Roman" w:hAnsi="Times New Roman" w:eastAsia="方正仿宋_GBK" w:cs="Times New Roman"/>
          <w:b/>
          <w:bCs/>
          <w:smallCaps w:val="0"/>
          <w:sz w:val="24"/>
          <w:szCs w:val="28"/>
        </w:rPr>
        <w:t>1总则</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1.1本规范书适用于</w:t>
      </w:r>
      <w:r>
        <w:rPr>
          <w:rFonts w:hint="default" w:ascii="Times New Roman" w:hAnsi="Times New Roman" w:eastAsia="方正仿宋_GBK" w:cs="Times New Roman"/>
          <w:color w:val="auto"/>
          <w:sz w:val="24"/>
          <w:lang w:eastAsia="zh-CN"/>
        </w:rPr>
        <w:t>“</w:t>
      </w:r>
      <w:r>
        <w:rPr>
          <w:rFonts w:hint="default" w:ascii="Times New Roman" w:hAnsi="Times New Roman" w:eastAsia="方正仿宋_GBK" w:cs="Times New Roman"/>
          <w:color w:val="auto"/>
          <w:sz w:val="24"/>
          <w:szCs w:val="22"/>
          <w:lang w:val="zh-CN"/>
        </w:rPr>
        <w:t>泸县经开区神仙桥产业园能源综合利用项目”</w:t>
      </w:r>
      <w:r>
        <w:rPr>
          <w:rFonts w:hint="default" w:ascii="Times New Roman" w:hAnsi="Times New Roman" w:eastAsia="方正仿宋_GBK" w:cs="Times New Roman"/>
          <w:smallCaps w:val="0"/>
          <w:sz w:val="24"/>
          <w:szCs w:val="28"/>
        </w:rPr>
        <w:t>及相关范围内380/220V低压开关柜的技术和有关方面的要求，其中包括技术指标、性能、结构、试验等要求，还包括资料交付及技术文件要求等。</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本规范书提出的是最低限度的技术要求，并未对一切技术细节做出规定，也未充分引述有关标准和规范的条文，投标方应保证提供符合国家或国际标准和本规范书的优质产品。若投标方所使用的标准与本规范书所使用的标准不一致时，按较高标准执行。</w:t>
      </w:r>
    </w:p>
    <w:p>
      <w:pPr>
        <w:pStyle w:val="8"/>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1.3如投标方没有以书面形式对本规范书的条文提出异议，那么招标方就可以认为投标方提供的产品完全满足本规范书的要求。</w:t>
      </w:r>
    </w:p>
    <w:p>
      <w:pPr>
        <w:pStyle w:val="8"/>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1.4本规范书为订货合同的附件，与合同正文具有同等效力。</w:t>
      </w:r>
    </w:p>
    <w:p>
      <w:pPr>
        <w:pStyle w:val="8"/>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方正仿宋_GBK" w:cs="Times New Roman"/>
          <w:smallCaps w:val="0"/>
          <w:kern w:val="16"/>
          <w:sz w:val="24"/>
          <w:szCs w:val="28"/>
        </w:rPr>
      </w:pPr>
      <w:r>
        <w:rPr>
          <w:rFonts w:hint="default" w:ascii="Times New Roman" w:hAnsi="Times New Roman" w:eastAsia="方正仿宋_GBK" w:cs="Times New Roman"/>
          <w:smallCaps w:val="0"/>
          <w:sz w:val="24"/>
          <w:szCs w:val="28"/>
        </w:rPr>
        <w:t>1.5本规范书未尽事宜，双方协商解决。</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1.6投标方的工作范围</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投标方至少必须按下列项目提供低压开关柜及其配套设备和相应服务：</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a.设计</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b.制造</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c.装配</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d.工厂清洗和涂层</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e.材料试验</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f.设计试验</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g.生产试验</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h.包装</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i.检验</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j.运输至现场交货</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k.协助安装</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lang w:val="en-US" w:eastAsia="zh-CN"/>
        </w:rPr>
      </w:pPr>
      <w:r>
        <w:rPr>
          <w:rFonts w:hint="default" w:ascii="Times New Roman" w:hAnsi="Times New Roman" w:eastAsia="方正仿宋_GBK" w:cs="Times New Roman"/>
          <w:smallCaps w:val="0"/>
          <w:sz w:val="24"/>
          <w:szCs w:val="28"/>
          <w:lang w:val="en-US" w:eastAsia="zh-CN"/>
        </w:rPr>
        <w:t>l.备品备件清单列表</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b/>
          <w:bCs/>
          <w:smallCaps w:val="0"/>
          <w:sz w:val="24"/>
          <w:szCs w:val="28"/>
        </w:rPr>
      </w:pPr>
      <w:r>
        <w:rPr>
          <w:rFonts w:hint="default" w:ascii="Times New Roman" w:hAnsi="Times New Roman" w:eastAsia="方正仿宋_GBK" w:cs="Times New Roman"/>
          <w:b/>
          <w:bCs/>
          <w:smallCaps w:val="0"/>
          <w:sz w:val="24"/>
          <w:szCs w:val="28"/>
        </w:rPr>
        <w:t>2.技术标准</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2.1引用标准</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GB/T14048.1-93</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 xml:space="preserve">《低压开关设备和控制设备》   </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GB1408-93</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 xml:space="preserve">《低压设备和控制设备》  </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GB7251-87</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 xml:space="preserve">《低压成套开关设备》  </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JB/T9661</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 xml:space="preserve">《低压抽出式成套开关设备》   </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IEC439-1</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《低压成套开关设备和控制设备</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GB4942.2-85</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 xml:space="preserve">《低压电器防护等级》   </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SDJ9-87</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 xml:space="preserve">《电测量仪表装置设计技术规程》 </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SDGJ14</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《导体和电器选择设计技术规定》</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GB1497           《低压电器基本标准》</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GB7251           《低压成套开关设备和控制设备》</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JB1284           《低压断路器》</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JB4012        </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《低压开关隔离器、开关、隔离开关及熔断器组合电器》</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JB2455           《低压接触器》</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BJ4013.1         《控制电路电器和开关元件一般要求》</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JB4011</w:t>
      </w:r>
      <w:r>
        <w:rPr>
          <w:rFonts w:hint="default" w:ascii="Times New Roman" w:hAnsi="Times New Roman" w:eastAsia="方正仿宋_GBK" w:cs="Times New Roman"/>
          <w:smallCaps w:val="0"/>
          <w:sz w:val="24"/>
          <w:szCs w:val="28"/>
          <w:lang w:val="en-US" w:eastAsia="zh-CN"/>
        </w:rPr>
        <w:t>.</w:t>
      </w:r>
      <w:r>
        <w:rPr>
          <w:rFonts w:hint="default" w:ascii="Times New Roman" w:hAnsi="Times New Roman" w:eastAsia="方正仿宋_GBK" w:cs="Times New Roman"/>
          <w:smallCaps w:val="0"/>
          <w:sz w:val="24"/>
          <w:szCs w:val="28"/>
        </w:rPr>
        <w:t>1         《低压熔断器一般要求》</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GB4720           《指标灯和按钮的颜色》</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GB4942-2         《低压电气外壳防护等级》</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GB9466           《低压成套开关设备基本测试方法》</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GB/T 4942</w:t>
      </w:r>
      <w:r>
        <w:rPr>
          <w:rFonts w:hint="default" w:ascii="Times New Roman" w:hAnsi="Times New Roman" w:eastAsia="方正仿宋_GBK" w:cs="Times New Roman"/>
          <w:smallCaps w:val="0"/>
          <w:sz w:val="24"/>
          <w:szCs w:val="28"/>
          <w:lang w:val="en-US" w:eastAsia="zh-CN"/>
        </w:rPr>
        <w:t>.</w:t>
      </w:r>
      <w:r>
        <w:rPr>
          <w:rFonts w:hint="default" w:ascii="Times New Roman" w:hAnsi="Times New Roman" w:eastAsia="方正仿宋_GBK" w:cs="Times New Roman"/>
          <w:smallCaps w:val="0"/>
          <w:sz w:val="24"/>
          <w:szCs w:val="28"/>
        </w:rPr>
        <w:t>2－1993  《低压电器外壳防护等级》</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GB/T 14598</w:t>
      </w:r>
      <w:r>
        <w:rPr>
          <w:rFonts w:hint="default" w:ascii="Times New Roman" w:hAnsi="Times New Roman" w:eastAsia="方正仿宋_GBK" w:cs="Times New Roman"/>
          <w:smallCaps w:val="0"/>
          <w:sz w:val="24"/>
          <w:szCs w:val="28"/>
          <w:lang w:val="en-US" w:eastAsia="zh-CN"/>
        </w:rPr>
        <w:t>.</w:t>
      </w:r>
      <w:r>
        <w:rPr>
          <w:rFonts w:hint="default" w:ascii="Times New Roman" w:hAnsi="Times New Roman" w:eastAsia="方正仿宋_GBK" w:cs="Times New Roman"/>
          <w:smallCaps w:val="0"/>
          <w:sz w:val="24"/>
          <w:szCs w:val="28"/>
        </w:rPr>
        <w:t>13－1998《静态继电保护装置的电气抗干扰试验》</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 11463－89       《电子测量仪器可靠性试验》</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GB/T 6587</w:t>
      </w:r>
      <w:r>
        <w:rPr>
          <w:rFonts w:hint="default" w:ascii="Times New Roman" w:hAnsi="Times New Roman" w:eastAsia="方正仿宋_GBK" w:cs="Times New Roman"/>
          <w:smallCaps w:val="0"/>
          <w:sz w:val="24"/>
          <w:szCs w:val="28"/>
          <w:lang w:val="en-US" w:eastAsia="zh-CN"/>
        </w:rPr>
        <w:t>.</w:t>
      </w:r>
      <w:r>
        <w:rPr>
          <w:rFonts w:hint="default" w:ascii="Times New Roman" w:hAnsi="Times New Roman" w:eastAsia="方正仿宋_GBK" w:cs="Times New Roman"/>
          <w:smallCaps w:val="0"/>
          <w:sz w:val="24"/>
          <w:szCs w:val="28"/>
        </w:rPr>
        <w:t>4－86    《电子测量仪器振动试验》</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GB/T 6587</w:t>
      </w:r>
      <w:r>
        <w:rPr>
          <w:rFonts w:hint="default" w:ascii="Times New Roman" w:hAnsi="Times New Roman" w:eastAsia="方正仿宋_GBK" w:cs="Times New Roman"/>
          <w:smallCaps w:val="0"/>
          <w:sz w:val="24"/>
          <w:szCs w:val="28"/>
          <w:lang w:val="en-US" w:eastAsia="zh-CN"/>
        </w:rPr>
        <w:t>.</w:t>
      </w:r>
      <w:r>
        <w:rPr>
          <w:rFonts w:hint="default" w:ascii="Times New Roman" w:hAnsi="Times New Roman" w:eastAsia="方正仿宋_GBK" w:cs="Times New Roman"/>
          <w:smallCaps w:val="0"/>
          <w:sz w:val="24"/>
          <w:szCs w:val="28"/>
        </w:rPr>
        <w:t>5－86    《电子测量仪器冲击试验》</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GB 6587.6－86      《电子测量仪器运输试验》</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DL/T 478－2001    </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《静态继电保护及安全自动装置通用技术条件》</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JB/T 3085－1999   </w:t>
      </w:r>
      <w:r>
        <w:rPr>
          <w:rFonts w:hint="default" w:ascii="Times New Roman" w:hAnsi="Times New Roman" w:eastAsia="方正仿宋_GBK" w:cs="Times New Roman"/>
          <w:smallCaps w:val="0"/>
          <w:sz w:val="24"/>
          <w:szCs w:val="28"/>
          <w:lang w:val="en-US" w:eastAsia="zh-CN"/>
        </w:rPr>
        <w:t xml:space="preserve"> </w:t>
      </w:r>
      <w:r>
        <w:rPr>
          <w:rFonts w:hint="default" w:ascii="Times New Roman" w:hAnsi="Times New Roman" w:eastAsia="方正仿宋_GBK" w:cs="Times New Roman"/>
          <w:smallCaps w:val="0"/>
          <w:sz w:val="24"/>
          <w:szCs w:val="28"/>
        </w:rPr>
        <w:t>《电力传动控制装置的产品包装与运输规程》</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2.2如果法规和标准的要求低于投标方的标准时，投标方可以提出书面意见提请招标方许可，同时，投标方应提供技术先进和更可靠的设计及材料。</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2.3若指定的标准、法规和本技术规范书之间发生任何明显差异时，投标方必须以书面的形式向招标方提出这些差异的解决办法。</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b/>
          <w:bCs/>
          <w:smallCaps w:val="0"/>
          <w:sz w:val="24"/>
          <w:szCs w:val="28"/>
        </w:rPr>
      </w:pPr>
      <w:r>
        <w:rPr>
          <w:rFonts w:hint="default" w:ascii="Times New Roman" w:hAnsi="Times New Roman" w:eastAsia="方正仿宋_GBK" w:cs="Times New Roman"/>
          <w:b/>
          <w:bCs/>
          <w:smallCaps w:val="0"/>
          <w:sz w:val="24"/>
          <w:szCs w:val="28"/>
        </w:rPr>
        <w:t>3.使用条件</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符合本标准的装置应适用于下述条件并能正常工作，如果装置中使用的元器件不适于这些条件，应采取适当的措施以保证其正常工作。</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3.1工程概况</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本工程低压系统，包括</w:t>
      </w:r>
      <w:r>
        <w:rPr>
          <w:rFonts w:hint="default" w:ascii="Times New Roman" w:hAnsi="Times New Roman" w:eastAsia="方正仿宋_GBK" w:cs="Times New Roman"/>
          <w:smallCaps w:val="0"/>
          <w:sz w:val="24"/>
          <w:szCs w:val="28"/>
          <w:lang w:val="en-US" w:eastAsia="zh-CN"/>
        </w:rPr>
        <w:t>19</w:t>
      </w:r>
      <w:r>
        <w:rPr>
          <w:rFonts w:hint="default" w:ascii="Times New Roman" w:hAnsi="Times New Roman" w:eastAsia="方正仿宋_GBK" w:cs="Times New Roman"/>
          <w:smallCaps w:val="0"/>
          <w:sz w:val="24"/>
          <w:szCs w:val="28"/>
        </w:rPr>
        <w:t>面</w:t>
      </w:r>
      <w:r>
        <w:rPr>
          <w:rFonts w:hint="default" w:ascii="Times New Roman" w:hAnsi="Times New Roman" w:eastAsia="方正仿宋_GBK" w:cs="Times New Roman"/>
          <w:smallCaps w:val="0"/>
          <w:sz w:val="24"/>
          <w:szCs w:val="28"/>
          <w:lang w:val="en-US" w:eastAsia="zh-CN"/>
        </w:rPr>
        <w:t>MNS抽屉式</w:t>
      </w:r>
      <w:r>
        <w:rPr>
          <w:rFonts w:hint="default" w:ascii="Times New Roman" w:hAnsi="Times New Roman" w:eastAsia="方正仿宋_GBK" w:cs="Times New Roman"/>
          <w:smallCaps w:val="0"/>
          <w:sz w:val="24"/>
          <w:szCs w:val="28"/>
        </w:rPr>
        <w:t>开关柜；</w:t>
      </w:r>
      <w:r>
        <w:rPr>
          <w:rFonts w:hint="default" w:ascii="Times New Roman" w:hAnsi="Times New Roman" w:eastAsia="方正仿宋_GBK" w:cs="Times New Roman"/>
          <w:smallCaps w:val="0"/>
          <w:sz w:val="24"/>
          <w:szCs w:val="28"/>
          <w:lang w:val="en-US" w:eastAsia="zh-CN"/>
        </w:rPr>
        <w:t>1面DCS电源柜（配备77个三极开关，2个双极开关）；1面低压变频柜（含变频器）；1面低压软启柜（含软启动器）；3</w:t>
      </w:r>
      <w:r>
        <w:rPr>
          <w:rFonts w:hint="default" w:ascii="Times New Roman" w:hAnsi="Times New Roman" w:eastAsia="方正仿宋_GBK" w:cs="Times New Roman"/>
          <w:smallCaps w:val="0"/>
          <w:sz w:val="24"/>
          <w:szCs w:val="28"/>
        </w:rPr>
        <w:t>面低压动力箱</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MNS抽屉式</w:t>
      </w:r>
      <w:r>
        <w:rPr>
          <w:rFonts w:hint="default" w:ascii="Times New Roman" w:hAnsi="Times New Roman" w:eastAsia="方正仿宋_GBK" w:cs="Times New Roman"/>
          <w:smallCaps w:val="0"/>
          <w:sz w:val="24"/>
          <w:szCs w:val="28"/>
        </w:rPr>
        <w:t>开关柜</w:t>
      </w:r>
      <w:r>
        <w:rPr>
          <w:rFonts w:hint="default" w:ascii="Times New Roman" w:hAnsi="Times New Roman" w:eastAsia="方正仿宋_GBK" w:cs="Times New Roman"/>
          <w:smallCaps w:val="0"/>
          <w:sz w:val="24"/>
          <w:szCs w:val="28"/>
          <w:lang w:val="en-US" w:eastAsia="zh-CN"/>
        </w:rPr>
        <w:t>中含3台大容量</w:t>
      </w:r>
      <w:r>
        <w:rPr>
          <w:rFonts w:hint="default" w:ascii="Times New Roman" w:hAnsi="Times New Roman" w:eastAsia="方正仿宋_GBK" w:cs="Times New Roman"/>
          <w:smallCaps w:val="0"/>
          <w:sz w:val="24"/>
          <w:szCs w:val="28"/>
        </w:rPr>
        <w:t>检修</w:t>
      </w:r>
      <w:r>
        <w:rPr>
          <w:rFonts w:hint="default" w:ascii="Times New Roman" w:hAnsi="Times New Roman" w:eastAsia="方正仿宋_GBK" w:cs="Times New Roman"/>
          <w:smallCaps w:val="0"/>
          <w:sz w:val="24"/>
          <w:szCs w:val="28"/>
          <w:lang w:val="en-US" w:eastAsia="zh-CN"/>
        </w:rPr>
        <w:t>抽屉开关（具体位置见系统图）</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3</w:t>
      </w:r>
      <w:r>
        <w:rPr>
          <w:rFonts w:hint="default" w:ascii="Times New Roman" w:hAnsi="Times New Roman" w:eastAsia="方正仿宋_GBK" w:cs="Times New Roman"/>
          <w:smallCaps w:val="0"/>
          <w:color w:val="auto"/>
          <w:sz w:val="24"/>
          <w:szCs w:val="28"/>
        </w:rPr>
        <w:t>个</w:t>
      </w:r>
      <w:r>
        <w:rPr>
          <w:rFonts w:hint="default" w:ascii="Times New Roman" w:hAnsi="Times New Roman" w:eastAsia="方正仿宋_GBK" w:cs="Times New Roman"/>
          <w:smallCaps w:val="0"/>
          <w:color w:val="auto"/>
          <w:sz w:val="24"/>
          <w:szCs w:val="28"/>
          <w:lang w:eastAsia="zh-CN"/>
        </w:rPr>
        <w:t>挂壁式</w:t>
      </w:r>
      <w:r>
        <w:rPr>
          <w:rFonts w:hint="default" w:ascii="Times New Roman" w:hAnsi="Times New Roman" w:eastAsia="方正仿宋_GBK" w:cs="Times New Roman"/>
          <w:smallCaps w:val="0"/>
          <w:color w:val="auto"/>
          <w:sz w:val="24"/>
          <w:szCs w:val="28"/>
          <w:lang w:val="en-US" w:eastAsia="zh-CN"/>
        </w:rPr>
        <w:t>空气</w:t>
      </w:r>
      <w:r>
        <w:rPr>
          <w:rFonts w:hint="default" w:ascii="Times New Roman" w:hAnsi="Times New Roman" w:eastAsia="方正仿宋_GBK" w:cs="Times New Roman"/>
          <w:smallCaps w:val="0"/>
          <w:color w:val="auto"/>
          <w:sz w:val="24"/>
          <w:szCs w:val="28"/>
          <w:lang w:eastAsia="zh-CN"/>
        </w:rPr>
        <w:t>开关盒</w:t>
      </w:r>
      <w:r>
        <w:rPr>
          <w:rFonts w:hint="default" w:ascii="Times New Roman" w:hAnsi="Times New Roman" w:eastAsia="方正仿宋_GBK" w:cs="Times New Roman"/>
          <w:b w:val="0"/>
          <w:bCs w:val="0"/>
          <w:smallCaps w:val="0"/>
          <w:color w:val="auto"/>
          <w:sz w:val="24"/>
          <w:szCs w:val="28"/>
          <w:lang w:eastAsia="zh-CN"/>
        </w:rPr>
        <w:t>（</w:t>
      </w:r>
      <w:r>
        <w:rPr>
          <w:rFonts w:hint="default" w:ascii="Times New Roman" w:hAnsi="Times New Roman" w:eastAsia="方正仿宋_GBK" w:cs="Times New Roman"/>
          <w:b w:val="0"/>
          <w:bCs w:val="0"/>
          <w:sz w:val="24"/>
          <w:szCs w:val="24"/>
          <w:highlight w:val="none"/>
          <w:lang w:val="en-US" w:eastAsia="zh-CN"/>
        </w:rPr>
        <w:t>此开关为厂内电动葫芦、行车电源隔离用</w:t>
      </w:r>
      <w:r>
        <w:rPr>
          <w:rFonts w:hint="default" w:ascii="Times New Roman" w:hAnsi="Times New Roman" w:eastAsia="方正仿宋_GBK" w:cs="Times New Roman"/>
          <w:smallCaps w:val="0"/>
          <w:color w:val="auto"/>
          <w:sz w:val="24"/>
          <w:szCs w:val="28"/>
          <w:highlight w:val="none"/>
          <w:lang w:eastAsia="zh-CN"/>
        </w:rPr>
        <w:t>）</w:t>
      </w:r>
      <w:r>
        <w:rPr>
          <w:rFonts w:hint="default" w:ascii="Times New Roman" w:hAnsi="Times New Roman" w:eastAsia="方正仿宋_GBK" w:cs="Times New Roman"/>
          <w:smallCaps w:val="0"/>
          <w:color w:val="auto"/>
          <w:sz w:val="24"/>
          <w:szCs w:val="28"/>
        </w:rPr>
        <w:t>；</w:t>
      </w:r>
      <w:r>
        <w:rPr>
          <w:rFonts w:hint="default" w:ascii="Times New Roman" w:hAnsi="Times New Roman" w:eastAsia="方正仿宋_GBK" w:cs="Times New Roman"/>
          <w:smallCaps w:val="0"/>
          <w:sz w:val="24"/>
          <w:szCs w:val="28"/>
          <w:lang w:val="en-US" w:eastAsia="zh-CN"/>
        </w:rPr>
        <w:t>21</w:t>
      </w:r>
      <w:r>
        <w:rPr>
          <w:rFonts w:hint="default" w:ascii="Times New Roman" w:hAnsi="Times New Roman" w:eastAsia="方正仿宋_GBK" w:cs="Times New Roman"/>
          <w:smallCaps w:val="0"/>
          <w:sz w:val="24"/>
          <w:szCs w:val="28"/>
        </w:rPr>
        <w:t>个全封闭就地</w:t>
      </w:r>
      <w:r>
        <w:rPr>
          <w:rFonts w:hint="default" w:ascii="Times New Roman" w:hAnsi="Times New Roman" w:eastAsia="方正仿宋_GBK" w:cs="Times New Roman"/>
          <w:smallCaps w:val="0"/>
          <w:sz w:val="24"/>
          <w:szCs w:val="28"/>
          <w:lang w:val="en-US" w:eastAsia="zh-CN"/>
        </w:rPr>
        <w:t>急</w:t>
      </w:r>
      <w:r>
        <w:rPr>
          <w:rFonts w:hint="default" w:ascii="Times New Roman" w:hAnsi="Times New Roman" w:eastAsia="方正仿宋_GBK" w:cs="Times New Roman"/>
          <w:smallCaps w:val="0"/>
          <w:sz w:val="24"/>
          <w:szCs w:val="28"/>
        </w:rPr>
        <w:t>停按钮盒</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2段共箱式低压母线桥</w:t>
      </w:r>
      <w:r>
        <w:rPr>
          <w:rFonts w:hint="default" w:ascii="Times New Roman" w:hAnsi="Times New Roman" w:eastAsia="方正仿宋_GBK" w:cs="Times New Roman"/>
          <w:smallCaps w:val="0"/>
          <w:sz w:val="24"/>
          <w:szCs w:val="28"/>
        </w:rPr>
        <w:t>详见一次系统图。</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highlight w:val="none"/>
          <w:lang w:eastAsia="zh-CN"/>
        </w:rPr>
      </w:pPr>
      <w:r>
        <w:rPr>
          <w:rFonts w:hint="default" w:ascii="Times New Roman" w:hAnsi="Times New Roman" w:eastAsia="方正仿宋_GBK" w:cs="Times New Roman"/>
          <w:smallCaps w:val="0"/>
          <w:sz w:val="24"/>
          <w:szCs w:val="28"/>
          <w:highlight w:val="none"/>
          <w:lang w:eastAsia="zh-CN"/>
        </w:rPr>
        <w:t>（</w:t>
      </w:r>
      <w:r>
        <w:rPr>
          <w:rFonts w:hint="default" w:ascii="Times New Roman" w:hAnsi="Times New Roman" w:eastAsia="方正仿宋_GBK" w:cs="Times New Roman"/>
          <w:smallCaps w:val="0"/>
          <w:sz w:val="24"/>
          <w:szCs w:val="28"/>
          <w:highlight w:val="none"/>
          <w:lang w:val="en-US" w:eastAsia="zh-CN"/>
        </w:rPr>
        <w:t>具体数量根据设计院出具380V低压配电柜订货图来确定</w:t>
      </w:r>
      <w:r>
        <w:rPr>
          <w:rFonts w:hint="default" w:ascii="Times New Roman" w:hAnsi="Times New Roman" w:eastAsia="方正仿宋_GBK" w:cs="Times New Roman"/>
          <w:smallCaps w:val="0"/>
          <w:sz w:val="24"/>
          <w:szCs w:val="28"/>
          <w:highlight w:val="none"/>
          <w:lang w:eastAsia="zh-CN"/>
        </w:rPr>
        <w:t>）。</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3.1.2 使用环境条件（招标方填写）</w:t>
      </w:r>
    </w:p>
    <w:p>
      <w:pPr>
        <w:pageBreakBefore w:val="0"/>
        <w:kinsoku/>
        <w:wordWrap/>
        <w:overflowPunct/>
        <w:topLinePunct w:val="0"/>
        <w:autoSpaceDE w:val="0"/>
        <w:autoSpaceDN w:val="0"/>
        <w:bidi w:val="0"/>
        <w:spacing w:line="460" w:lineRule="exact"/>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（1）安装地点：</w:t>
      </w:r>
      <w:r>
        <w:rPr>
          <w:rFonts w:hint="default" w:ascii="Times New Roman" w:hAnsi="Times New Roman" w:eastAsia="方正仿宋_GBK" w:cs="Times New Roman"/>
          <w:sz w:val="24"/>
          <w:szCs w:val="24"/>
          <w:lang w:val="en-US" w:eastAsia="zh-CN"/>
        </w:rPr>
        <w:t>四川</w:t>
      </w:r>
      <w:r>
        <w:rPr>
          <w:rFonts w:hint="default" w:ascii="Times New Roman" w:hAnsi="Times New Roman" w:eastAsia="方正仿宋_GBK" w:cs="Times New Roman"/>
          <w:sz w:val="24"/>
          <w:szCs w:val="24"/>
        </w:rPr>
        <w:t>省泸州市</w:t>
      </w:r>
      <w:r>
        <w:rPr>
          <w:rStyle w:val="15"/>
          <w:rFonts w:hint="default" w:ascii="Times New Roman" w:hAnsi="Times New Roman" w:eastAsia="方正仿宋_GBK" w:cs="Times New Roman"/>
          <w:kern w:val="2"/>
          <w:sz w:val="24"/>
          <w:szCs w:val="24"/>
        </w:rPr>
        <w:t>泸县经开区神仙桥产业园</w:t>
      </w:r>
      <w:r>
        <w:rPr>
          <w:rFonts w:hint="default" w:ascii="Times New Roman" w:hAnsi="Times New Roman" w:eastAsia="方正仿宋_GBK" w:cs="Times New Roman"/>
          <w:sz w:val="24"/>
          <w:szCs w:val="24"/>
        </w:rPr>
        <w:t>内</w:t>
      </w:r>
      <w:r>
        <w:rPr>
          <w:rFonts w:hint="default" w:ascii="Times New Roman" w:hAnsi="Times New Roman" w:eastAsia="方正仿宋_GBK" w:cs="Times New Roman"/>
          <w:color w:val="auto"/>
          <w:sz w:val="24"/>
          <w:szCs w:val="22"/>
        </w:rPr>
        <w:t>，</w:t>
      </w:r>
      <w:r>
        <w:rPr>
          <w:rFonts w:hint="default" w:ascii="Times New Roman" w:hAnsi="Times New Roman" w:eastAsia="方正仿宋_GBK" w:cs="Times New Roman"/>
          <w:color w:val="auto"/>
          <w:sz w:val="24"/>
          <w:szCs w:val="22"/>
          <w:lang w:eastAsia="zh-CN"/>
        </w:rPr>
        <w:t>户</w:t>
      </w:r>
      <w:r>
        <w:rPr>
          <w:rFonts w:hint="default" w:ascii="Times New Roman" w:hAnsi="Times New Roman" w:eastAsia="方正仿宋_GBK" w:cs="Times New Roman"/>
          <w:color w:val="auto"/>
          <w:sz w:val="24"/>
          <w:szCs w:val="22"/>
          <w:lang w:val="en-US" w:eastAsia="zh-CN"/>
        </w:rPr>
        <w:t>内</w:t>
      </w:r>
      <w:r>
        <w:rPr>
          <w:rFonts w:hint="default" w:ascii="Times New Roman" w:hAnsi="Times New Roman" w:eastAsia="方正仿宋_GBK" w:cs="Times New Roman"/>
          <w:color w:val="auto"/>
          <w:sz w:val="24"/>
        </w:rPr>
        <w:t>布置</w:t>
      </w:r>
      <w:r>
        <w:rPr>
          <w:rFonts w:hint="default" w:ascii="Times New Roman" w:hAnsi="Times New Roman" w:eastAsia="方正仿宋_GBK" w:cs="Times New Roman"/>
          <w:kern w:val="0"/>
          <w:sz w:val="24"/>
          <w:szCs w:val="20"/>
        </w:rPr>
        <w:t>。</w:t>
      </w:r>
    </w:p>
    <w:p>
      <w:pPr>
        <w:pageBreakBefore w:val="0"/>
        <w:kinsoku/>
        <w:wordWrap/>
        <w:overflowPunct/>
        <w:topLinePunct w:val="0"/>
        <w:autoSpaceDE w:val="0"/>
        <w:autoSpaceDN w:val="0"/>
        <w:bidi w:val="0"/>
        <w:adjustRightInd w:val="0"/>
        <w:spacing w:line="460" w:lineRule="exact"/>
        <w:textAlignment w:val="bottom"/>
        <w:rPr>
          <w:rFonts w:hint="default" w:ascii="Times New Roman" w:hAnsi="Times New Roman" w:eastAsia="方正仿宋_GBK" w:cs="Times New Roman"/>
          <w:sz w:val="24"/>
          <w:lang w:eastAsia="zh-CN"/>
        </w:rPr>
      </w:pPr>
      <w:r>
        <w:rPr>
          <w:rFonts w:hint="default" w:ascii="Times New Roman" w:hAnsi="Times New Roman" w:eastAsia="方正仿宋_GBK" w:cs="Times New Roman"/>
          <w:sz w:val="24"/>
        </w:rPr>
        <w:t>（2）环境条件（产品应能在下述条件下安全运行）</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极端最高气温  </w:t>
      </w:r>
      <w:r>
        <w:rPr>
          <w:rFonts w:hint="default" w:ascii="Times New Roman" w:hAnsi="Times New Roman" w:eastAsia="方正仿宋_GBK" w:cs="Times New Roman"/>
          <w:sz w:val="24"/>
          <w:lang w:val="en-US" w:eastAsia="zh-CN"/>
        </w:rPr>
        <w:t>41</w:t>
      </w:r>
      <w:r>
        <w:rPr>
          <w:rFonts w:hint="default" w:ascii="Times New Roman" w:hAnsi="Times New Roman" w:eastAsia="方正仿宋_GBK" w:cs="Times New Roman"/>
          <w:sz w:val="24"/>
        </w:rPr>
        <w:t xml:space="preserve"> ℃</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极端最低气温 </w:t>
      </w:r>
      <w:r>
        <w:rPr>
          <w:rFonts w:hint="default" w:ascii="Times New Roman" w:hAnsi="Times New Roman" w:eastAsia="方正仿宋_GBK" w:cs="Times New Roman"/>
          <w:sz w:val="24"/>
          <w:lang w:val="en-US" w:eastAsia="zh-CN"/>
        </w:rPr>
        <w:t>-2</w:t>
      </w:r>
      <w:r>
        <w:rPr>
          <w:rFonts w:hint="default" w:ascii="Times New Roman" w:hAnsi="Times New Roman" w:eastAsia="方正仿宋_GBK" w:cs="Times New Roman"/>
          <w:sz w:val="24"/>
        </w:rPr>
        <w:t xml:space="preserve">  ℃</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年平均气温  </w:t>
      </w:r>
      <w:r>
        <w:rPr>
          <w:rFonts w:hint="default" w:ascii="Times New Roman" w:hAnsi="Times New Roman" w:eastAsia="方正仿宋_GBK" w:cs="Times New Roman"/>
          <w:sz w:val="24"/>
          <w:lang w:val="en-US" w:eastAsia="zh-CN"/>
        </w:rPr>
        <w:t>26</w:t>
      </w:r>
      <w:r>
        <w:rPr>
          <w:rFonts w:hint="default" w:ascii="Times New Roman" w:hAnsi="Times New Roman" w:eastAsia="方正仿宋_GBK" w:cs="Times New Roman"/>
          <w:sz w:val="24"/>
        </w:rPr>
        <w:t xml:space="preserve">  ℃</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年平均降雨量 </w:t>
      </w:r>
      <w:r>
        <w:rPr>
          <w:rFonts w:hint="default" w:ascii="Times New Roman" w:hAnsi="Times New Roman" w:eastAsia="方正仿宋_GBK" w:cs="Times New Roman"/>
          <w:sz w:val="24"/>
          <w:lang w:val="en-US" w:eastAsia="zh-CN"/>
        </w:rPr>
        <w:t xml:space="preserve"> / </w:t>
      </w:r>
      <w:r>
        <w:rPr>
          <w:rFonts w:hint="default" w:ascii="Times New Roman" w:hAnsi="Times New Roman" w:eastAsia="方正仿宋_GBK" w:cs="Times New Roman"/>
          <w:sz w:val="24"/>
        </w:rPr>
        <w:t xml:space="preserve"> mm</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一昼夜最大降雨量</w:t>
      </w:r>
      <w:r>
        <w:rPr>
          <w:rFonts w:hint="default" w:ascii="Times New Roman" w:hAnsi="Times New Roman" w:eastAsia="方正仿宋_GBK" w:cs="Times New Roman"/>
          <w:sz w:val="24"/>
          <w:lang w:val="en-US" w:eastAsia="zh-CN"/>
        </w:rPr>
        <w:t xml:space="preserve"> </w:t>
      </w:r>
      <w:r>
        <w:rPr>
          <w:rFonts w:hint="default" w:ascii="Times New Roman" w:hAnsi="Times New Roman" w:eastAsia="方正仿宋_GBK" w:cs="Times New Roman"/>
          <w:sz w:val="24"/>
        </w:rPr>
        <w:t xml:space="preserve"> </w:t>
      </w:r>
      <w:r>
        <w:rPr>
          <w:rFonts w:hint="default" w:ascii="Times New Roman" w:hAnsi="Times New Roman" w:eastAsia="方正仿宋_GBK" w:cs="Times New Roman"/>
          <w:sz w:val="24"/>
          <w:lang w:val="en-US" w:eastAsia="zh-CN"/>
        </w:rPr>
        <w:t xml:space="preserve">/ </w:t>
      </w:r>
      <w:r>
        <w:rPr>
          <w:rFonts w:hint="default" w:ascii="Times New Roman" w:hAnsi="Times New Roman" w:eastAsia="方正仿宋_GBK" w:cs="Times New Roman"/>
          <w:sz w:val="24"/>
        </w:rPr>
        <w:t xml:space="preserve"> mm</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年平均相对湿度 </w:t>
      </w:r>
      <w:r>
        <w:rPr>
          <w:rFonts w:hint="default" w:ascii="Times New Roman" w:hAnsi="Times New Roman" w:eastAsia="方正仿宋_GBK" w:cs="Times New Roman"/>
          <w:sz w:val="24"/>
          <w:lang w:val="en-US" w:eastAsia="zh-CN"/>
        </w:rPr>
        <w:t>78</w:t>
      </w:r>
      <w:r>
        <w:rPr>
          <w:rFonts w:hint="default" w:ascii="Times New Roman" w:hAnsi="Times New Roman" w:eastAsia="方正仿宋_GBK" w:cs="Times New Roman"/>
          <w:sz w:val="24"/>
        </w:rPr>
        <w:t xml:space="preserve"> %</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常年主导风向</w:t>
      </w:r>
      <w:r>
        <w:rPr>
          <w:rFonts w:hint="default" w:ascii="Times New Roman" w:hAnsi="Times New Roman" w:eastAsia="方正仿宋_GBK" w:cs="Times New Roman"/>
          <w:sz w:val="24"/>
          <w:lang w:val="en-US" w:eastAsia="zh-CN"/>
        </w:rPr>
        <w:t xml:space="preserve">  / </w:t>
      </w:r>
      <w:r>
        <w:rPr>
          <w:rFonts w:hint="default" w:ascii="Times New Roman" w:hAnsi="Times New Roman" w:eastAsia="方正仿宋_GBK" w:cs="Times New Roman"/>
          <w:sz w:val="24"/>
        </w:rPr>
        <w:t xml:space="preserve"> 风</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年平均风速 </w:t>
      </w:r>
      <w:r>
        <w:rPr>
          <w:rFonts w:hint="default" w:ascii="Times New Roman" w:hAnsi="Times New Roman" w:eastAsia="方正仿宋_GBK" w:cs="Times New Roman"/>
          <w:sz w:val="24"/>
          <w:lang w:val="en-US" w:eastAsia="zh-CN"/>
        </w:rPr>
        <w:t>/</w:t>
      </w:r>
      <w:r>
        <w:rPr>
          <w:rFonts w:hint="default" w:ascii="Times New Roman" w:hAnsi="Times New Roman" w:eastAsia="方正仿宋_GBK" w:cs="Times New Roman"/>
          <w:sz w:val="24"/>
        </w:rPr>
        <w:t xml:space="preserve">  m/s</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 xml:space="preserve">地震烈度 </w:t>
      </w:r>
      <w:r>
        <w:rPr>
          <w:rFonts w:hint="default" w:ascii="Times New Roman" w:hAnsi="Times New Roman" w:eastAsia="方正仿宋_GBK" w:cs="Times New Roman"/>
          <w:sz w:val="24"/>
          <w:lang w:val="en-US" w:eastAsia="zh-CN"/>
        </w:rPr>
        <w:t>/</w:t>
      </w:r>
      <w:r>
        <w:rPr>
          <w:rFonts w:hint="default" w:ascii="Times New Roman" w:hAnsi="Times New Roman" w:eastAsia="方正仿宋_GBK" w:cs="Times New Roman"/>
          <w:sz w:val="24"/>
        </w:rPr>
        <w:t xml:space="preserve"> 度</w:t>
      </w:r>
    </w:p>
    <w:p>
      <w:pPr>
        <w:pageBreakBefore w:val="0"/>
        <w:kinsoku/>
        <w:wordWrap/>
        <w:overflowPunct/>
        <w:topLinePunct w:val="0"/>
        <w:autoSpaceDE w:val="0"/>
        <w:autoSpaceDN w:val="0"/>
        <w:bidi w:val="0"/>
        <w:adjustRightInd w:val="0"/>
        <w:spacing w:line="460" w:lineRule="exact"/>
        <w:ind w:firstLine="480" w:firstLineChars="200"/>
        <w:textAlignment w:val="bottom"/>
        <w:rPr>
          <w:rFonts w:hint="default" w:ascii="Times New Roman" w:hAnsi="Times New Roman" w:eastAsia="方正仿宋_GBK" w:cs="Times New Roman"/>
          <w:sz w:val="24"/>
        </w:rPr>
      </w:pPr>
      <w:r>
        <w:rPr>
          <w:rFonts w:hint="default" w:ascii="Times New Roman" w:hAnsi="Times New Roman" w:eastAsia="方正仿宋_GBK" w:cs="Times New Roman"/>
          <w:sz w:val="24"/>
        </w:rPr>
        <w:t>海拔  ≤1000米</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3.2  运输、储存和安装条件</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3.2.1 运输和储存过程中的温度，可在+55℃～-25℃范围之间。在短时间内（不超过24h）温度可达到+70℃。</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3.2.2 在这些极限温度下不能工作的装置，不应遭受任何不可恢复的损伤，并在规定的条件下应能立即正常工作。</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b/>
          <w:bCs/>
          <w:smallCaps w:val="0"/>
          <w:sz w:val="24"/>
          <w:szCs w:val="28"/>
        </w:rPr>
      </w:pPr>
      <w:r>
        <w:rPr>
          <w:rFonts w:hint="default" w:ascii="Times New Roman" w:hAnsi="Times New Roman" w:eastAsia="方正仿宋_GBK" w:cs="Times New Roman"/>
          <w:b/>
          <w:bCs/>
          <w:smallCaps w:val="0"/>
          <w:sz w:val="24"/>
          <w:szCs w:val="28"/>
        </w:rPr>
        <w:t>4.</w:t>
      </w:r>
      <w:r>
        <w:rPr>
          <w:rFonts w:hint="default" w:ascii="Times New Roman" w:hAnsi="Times New Roman" w:eastAsia="方正仿宋_GBK" w:cs="Times New Roman"/>
          <w:b/>
          <w:bCs/>
          <w:smallCaps w:val="0"/>
          <w:sz w:val="24"/>
          <w:szCs w:val="28"/>
          <w:lang w:val="en-US" w:eastAsia="zh-CN"/>
        </w:rPr>
        <w:t>1</w:t>
      </w:r>
      <w:r>
        <w:rPr>
          <w:rFonts w:hint="default" w:ascii="Times New Roman" w:hAnsi="Times New Roman" w:eastAsia="方正仿宋_GBK" w:cs="Times New Roman"/>
          <w:b/>
          <w:bCs/>
          <w:smallCaps w:val="0"/>
          <w:sz w:val="24"/>
          <w:szCs w:val="28"/>
        </w:rPr>
        <w:t xml:space="preserve"> 低压柜基本技术性能要求</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开关柜技术要求：低压开关柜型式：</w:t>
      </w:r>
      <w:r>
        <w:rPr>
          <w:rFonts w:hint="default" w:ascii="Times New Roman" w:hAnsi="Times New Roman" w:eastAsia="方正仿宋_GBK" w:cs="Times New Roman"/>
          <w:smallCaps w:val="0"/>
          <w:sz w:val="24"/>
          <w:szCs w:val="28"/>
          <w:lang w:val="en-US" w:eastAsia="zh-CN"/>
        </w:rPr>
        <w:t>MNS抽屉是</w:t>
      </w:r>
      <w:r>
        <w:rPr>
          <w:rFonts w:hint="default" w:ascii="Times New Roman" w:hAnsi="Times New Roman" w:eastAsia="方正仿宋_GBK" w:cs="Times New Roman"/>
          <w:smallCaps w:val="0"/>
          <w:sz w:val="24"/>
          <w:szCs w:val="28"/>
        </w:rPr>
        <w:t>开关柜</w:t>
      </w:r>
      <w:r>
        <w:rPr>
          <w:rFonts w:hint="default" w:ascii="Times New Roman" w:hAnsi="Times New Roman" w:eastAsia="方正仿宋_GBK" w:cs="Times New Roman"/>
          <w:smallCaps w:val="0"/>
          <w:sz w:val="24"/>
          <w:szCs w:val="28"/>
          <w:lang w:eastAsia="zh-CN"/>
        </w:rPr>
        <w:t>。</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额定电压：400V</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额定绝缘电压690V</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 额定频率：50HZ</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 额定工作电流：主母线4000A，其他母线与断路器匹配。</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 母线额定短时耐受电流（KA/1S）：50</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u w:val="single"/>
        </w:rPr>
      </w:pPr>
      <w:r>
        <w:rPr>
          <w:rFonts w:hint="default" w:ascii="Times New Roman" w:hAnsi="Times New Roman" w:eastAsia="方正仿宋_GBK" w:cs="Times New Roman"/>
          <w:smallCaps w:val="0"/>
          <w:sz w:val="24"/>
          <w:szCs w:val="28"/>
        </w:rPr>
        <w:t>f. 母线额定峰值耐受电流（KA/0.1S）：105</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u w:val="single"/>
        </w:rPr>
      </w:pPr>
      <w:r>
        <w:rPr>
          <w:rFonts w:hint="default" w:ascii="Times New Roman" w:hAnsi="Times New Roman" w:eastAsia="方正仿宋_GBK" w:cs="Times New Roman"/>
          <w:smallCaps w:val="0"/>
          <w:sz w:val="24"/>
          <w:szCs w:val="28"/>
        </w:rPr>
        <w:t>g. 母线：三相五线</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color w:val="0000FF"/>
          <w:sz w:val="24"/>
          <w:szCs w:val="28"/>
          <w:lang w:val="en-US" w:eastAsia="zh-CN"/>
        </w:rPr>
      </w:pPr>
      <w:r>
        <w:rPr>
          <w:rFonts w:hint="default" w:ascii="Times New Roman" w:hAnsi="Times New Roman" w:eastAsia="方正仿宋_GBK" w:cs="Times New Roman"/>
          <w:smallCaps w:val="0"/>
          <w:sz w:val="24"/>
          <w:szCs w:val="28"/>
        </w:rPr>
        <w:t>h. 框架断路器分、合闸机构和辅助回路的额定电压：</w:t>
      </w:r>
      <w:r>
        <w:rPr>
          <w:rFonts w:hint="default" w:ascii="Times New Roman" w:hAnsi="Times New Roman" w:eastAsia="方正仿宋_GBK" w:cs="Times New Roman"/>
          <w:smallCaps w:val="0"/>
          <w:sz w:val="24"/>
          <w:szCs w:val="28"/>
          <w:lang w:val="en-US" w:eastAsia="zh-CN"/>
        </w:rPr>
        <w:t>AC</w:t>
      </w:r>
      <w:r>
        <w:rPr>
          <w:rFonts w:hint="default" w:ascii="Times New Roman" w:hAnsi="Times New Roman" w:eastAsia="方正仿宋_GBK" w:cs="Times New Roman"/>
          <w:smallCaps w:val="0"/>
          <w:sz w:val="24"/>
          <w:szCs w:val="28"/>
        </w:rPr>
        <w:t>220V</w:t>
      </w:r>
      <w:r>
        <w:rPr>
          <w:rFonts w:hint="default" w:ascii="Times New Roman" w:hAnsi="Times New Roman" w:eastAsia="方正仿宋_GBK" w:cs="Times New Roman"/>
          <w:smallCaps w:val="0"/>
          <w:color w:val="0000FF"/>
          <w:sz w:val="24"/>
          <w:szCs w:val="28"/>
          <w:lang w:val="en-US" w:eastAsia="zh-CN"/>
        </w:rPr>
        <w:t>。</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b/>
          <w:bCs/>
          <w:smallCaps w:val="0"/>
          <w:color w:val="auto"/>
          <w:sz w:val="24"/>
          <w:szCs w:val="28"/>
          <w:lang w:val="en-US" w:eastAsia="zh-CN"/>
        </w:rPr>
      </w:pPr>
      <w:r>
        <w:rPr>
          <w:rFonts w:hint="default" w:ascii="Times New Roman" w:hAnsi="Times New Roman" w:eastAsia="方正仿宋_GBK" w:cs="Times New Roman"/>
          <w:smallCaps w:val="0"/>
          <w:sz w:val="24"/>
          <w:szCs w:val="28"/>
        </w:rPr>
        <w:t>i.采用交流接触器电压等级AC220V</w:t>
      </w:r>
      <w:r>
        <w:rPr>
          <w:rFonts w:hint="default" w:ascii="Times New Roman" w:hAnsi="Times New Roman" w:eastAsia="方正仿宋_GBK" w:cs="Times New Roman"/>
          <w:smallCaps w:val="0"/>
          <w:color w:val="auto"/>
          <w:sz w:val="24"/>
          <w:szCs w:val="28"/>
          <w:lang w:val="en-US" w:eastAsia="zh-CN"/>
        </w:rPr>
        <w:t>。</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color w:val="auto"/>
          <w:sz w:val="24"/>
          <w:szCs w:val="28"/>
        </w:rPr>
      </w:pPr>
      <w:r>
        <w:rPr>
          <w:rFonts w:hint="default" w:ascii="Times New Roman" w:hAnsi="Times New Roman" w:eastAsia="方正仿宋_GBK" w:cs="Times New Roman"/>
          <w:smallCaps w:val="0"/>
          <w:color w:val="auto"/>
          <w:sz w:val="24"/>
          <w:szCs w:val="28"/>
        </w:rPr>
        <w:t>j. 正常工作电源和备用电源不并列运行。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rPr>
      </w:pPr>
      <w:r>
        <w:rPr>
          <w:rFonts w:hint="default" w:ascii="Times New Roman" w:hAnsi="Times New Roman" w:eastAsia="方正仿宋_GBK" w:cs="Times New Roman"/>
          <w:smallCaps w:val="0"/>
          <w:color w:val="auto"/>
          <w:sz w:val="24"/>
          <w:szCs w:val="28"/>
          <w:lang w:val="en-US" w:eastAsia="zh-CN"/>
        </w:rPr>
        <w:t>k</w:t>
      </w:r>
      <w:r>
        <w:rPr>
          <w:rFonts w:hint="default" w:ascii="Times New Roman" w:hAnsi="Times New Roman" w:eastAsia="方正仿宋_GBK" w:cs="Times New Roman"/>
          <w:smallCaps w:val="0"/>
          <w:color w:val="auto"/>
          <w:sz w:val="24"/>
          <w:szCs w:val="28"/>
        </w:rPr>
        <w:t>.外形尺寸：2200（高）*1000/800</w:t>
      </w:r>
      <w:r>
        <w:rPr>
          <w:rFonts w:hint="default" w:ascii="Times New Roman" w:hAnsi="Times New Roman" w:eastAsia="方正仿宋_GBK" w:cs="Times New Roman"/>
          <w:smallCaps w:val="0"/>
          <w:color w:val="auto"/>
          <w:sz w:val="24"/>
          <w:szCs w:val="28"/>
          <w:lang w:val="en-US" w:eastAsia="zh-CN"/>
        </w:rPr>
        <w:t>/600</w:t>
      </w:r>
      <w:r>
        <w:rPr>
          <w:rFonts w:hint="default" w:ascii="Times New Roman" w:hAnsi="Times New Roman" w:eastAsia="方正仿宋_GBK" w:cs="Times New Roman"/>
          <w:smallCaps w:val="0"/>
          <w:color w:val="auto"/>
          <w:sz w:val="24"/>
          <w:szCs w:val="28"/>
        </w:rPr>
        <w:t>（宽）*</w:t>
      </w:r>
      <w:r>
        <w:rPr>
          <w:rFonts w:hint="default" w:ascii="Times New Roman" w:hAnsi="Times New Roman" w:eastAsia="方正仿宋_GBK" w:cs="Times New Roman"/>
          <w:smallCaps w:val="0"/>
          <w:color w:val="auto"/>
          <w:sz w:val="24"/>
          <w:szCs w:val="28"/>
          <w:lang w:val="en-US" w:eastAsia="zh-CN"/>
        </w:rPr>
        <w:t>10</w:t>
      </w:r>
      <w:r>
        <w:rPr>
          <w:rFonts w:hint="default" w:ascii="Times New Roman" w:hAnsi="Times New Roman" w:eastAsia="方正仿宋_GBK" w:cs="Times New Roman"/>
          <w:smallCaps w:val="0"/>
          <w:color w:val="auto"/>
          <w:sz w:val="24"/>
          <w:szCs w:val="28"/>
        </w:rPr>
        <w:t>00（深）</w:t>
      </w:r>
      <w:r>
        <w:rPr>
          <w:rFonts w:hint="default" w:ascii="Times New Roman" w:hAnsi="Times New Roman" w:eastAsia="方正仿宋_GBK" w:cs="Times New Roman"/>
          <w:smallCaps w:val="0"/>
          <w:color w:val="auto"/>
          <w:sz w:val="24"/>
          <w:szCs w:val="28"/>
          <w:lang w:val="en-US" w:eastAsia="zh-CN"/>
        </w:rPr>
        <w:t>柜体颜色：计算机灰  RAL-7035</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 电气间隙</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电气间隙:     ≥8mm</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爬电距离:</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≥10mm 2) 间隔距离</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符合 JB4012-85《低压空气式隔离器开关、隔离开关及熔断器组合电器》的 有关要求,同时应考虑到制造公差和由于磨损而造成的尺寸变化。</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 外壳防护等级: 不小于 IP3X</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4) 温升:</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满足 GB7251.1 的要求。</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5) 柜体结构</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 开关柜外壳采用封闭的刚性、自承式独立结构，应能承受所安装元件和短路 时产生的动、热稳定，框架采用厚度不小于 2.5mm 优质敷铝锌钢板。外壳、 内隔板、功能单元等采用厚度不小于 2mm 的优质冷轧钢板，加工后剪切口不 应发生腐蚀或生锈现象。（2） 开关柜应有足够的机械强度，元件安装后及操作时无摇晃、不变形及不影响 机械和电气性能。</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开关柜应具有内部燃弧故障耐受能力，乙方提供国家权威机构的型式试验报告。</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（4）</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开关柜背面应设双开门，以方便运营维护。</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（5） 开关柜的结构使得正常运行、监视和维护工作能安全方便的运行。维护工作 包括：元件的检查和试验，故障的寻找和处理。对于额定参数相同以及结构 相同而需要替代的元件能够互换。</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（6）</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柜面设必要的测量表计、控制按钮和灯光信号。</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（7） 电缆引入部件的开口，在电缆正式安装后能达到与开关柜相同的防护等级和防止触电的保护措施，并配齐电缆安装支架。</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 柜内所有零部件如果具有相同的参数和结构应能互换，除了符合各自的标准 外，在设计时将考虑以下因素的影响：</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外壳具有足够的机械强度，使得装在外壳的开关、操作机构和其它 元件具有它们原来的机械和电气性能。</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每个柜内元件在发生故障时不影响相邻设备，在运行中便于操作员 检查和巡视。</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柜内绝缘材质应为低烟、无卤。</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设备外形尺寸：（宽 x 深 x 高 见设计图）</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柜内设电加热器，自动、手动控制的加热器应在柜外设置控制开关， 以进行其投入或切除操作。加热器应为常加热型，确保柜内潮气排放。</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外接导线端子</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开关柜的二次接线端子采用国内知名品牌产品。</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端子应能适用于连接随额定电流而定的最小至最大截面积的铜导线和电缆。</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接线用的有效空间允许连接规定材料的外接导线和芯线分开的多芯电缆。</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（10）</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保护性接地</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开关柜的底板、框架和金属外壳等外露导体部件应在电气上相互连接并连接到保护接地端子上,以便接到接地电极或外部保护导体上去。开关柜设有引出的专用连接端子。</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保护接地端子应设置在容易接近之处,保护接地端子采取抗腐蚀的适当措施。</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保护接地端子的标志能清楚而永久性地识别。</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（11）</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柜内接地母线应采用铜母线，截面必须满足额定短路耐受电流**kA/s 的要求。</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lang w:eastAsia="zh-CN"/>
        </w:rPr>
      </w:pPr>
      <w:r>
        <w:rPr>
          <w:rFonts w:hint="default" w:ascii="Times New Roman" w:hAnsi="Times New Roman" w:eastAsia="方正仿宋_GBK" w:cs="Times New Roman"/>
          <w:smallCaps w:val="0"/>
          <w:sz w:val="24"/>
          <w:szCs w:val="28"/>
        </w:rPr>
        <w:t>（12）</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母线和绝缘导线以及它们的敷设和连接</w:t>
      </w:r>
      <w:r>
        <w:rPr>
          <w:rFonts w:hint="default" w:ascii="Times New Roman" w:hAnsi="Times New Roman" w:eastAsia="方正仿宋_GBK" w:cs="Times New Roman"/>
          <w:smallCaps w:val="0"/>
          <w:sz w:val="24"/>
          <w:szCs w:val="28"/>
          <w:lang w:eastAsia="zh-CN"/>
        </w:rPr>
        <w:t>。</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母线间、馈线端等的电气连接应采用 4.8 级的高强度紧固件，保证有足够和持久的接触压力，确保运输过程和使用过程中紧固件不会松动，不使母线产生永久变形。</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开关柜内部所用导线采用低烟无卤阻燃型电缆或电线，主回路应采用1000V双重绝缘的铜芯镀锡软线，导线截面积应按断路器框架电流的最大值配置。</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 开关柜内母线的材料采用国标 T2 铜，含铜﹥99.90%。截面积应符合相关标准规范的技术要求，截面积还应满足 45℃环境温度下长期安 全可靠运行，除满足必须承载的电流外，还应考虑开关柜承受的机 械应力、敷设方法、绝缘类型以及所连接的元件种类等因素的影响。</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柜内铜母线截面积应不小于以下规格：</w:t>
      </w:r>
    </w:p>
    <w:tbl>
      <w:tblPr>
        <w:tblStyle w:val="11"/>
        <w:tblW w:w="0" w:type="auto"/>
        <w:tblInd w:w="1806" w:type="dxa"/>
        <w:tblLayout w:type="fixed"/>
        <w:tblCellMar>
          <w:top w:w="0" w:type="dxa"/>
          <w:left w:w="0" w:type="dxa"/>
          <w:bottom w:w="0" w:type="dxa"/>
          <w:right w:w="0" w:type="dxa"/>
        </w:tblCellMar>
      </w:tblPr>
      <w:tblGrid>
        <w:gridCol w:w="872"/>
        <w:gridCol w:w="2513"/>
        <w:gridCol w:w="2978"/>
      </w:tblGrid>
      <w:tr>
        <w:tblPrEx>
          <w:tblCellMar>
            <w:top w:w="0" w:type="dxa"/>
            <w:left w:w="0" w:type="dxa"/>
            <w:bottom w:w="0" w:type="dxa"/>
            <w:right w:w="0" w:type="dxa"/>
          </w:tblCellMar>
        </w:tblPrEx>
        <w:trPr>
          <w:trHeight w:val="478" w:hRule="exact"/>
        </w:trPr>
        <w:tc>
          <w:tcPr>
            <w:tcW w:w="87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序号</w:t>
            </w:r>
          </w:p>
        </w:tc>
        <w:tc>
          <w:tcPr>
            <w:tcW w:w="2513"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额定电流</w:t>
            </w:r>
          </w:p>
        </w:tc>
        <w:tc>
          <w:tcPr>
            <w:tcW w:w="297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截面积（mm2）</w:t>
            </w:r>
          </w:p>
        </w:tc>
      </w:tr>
      <w:tr>
        <w:tblPrEx>
          <w:tblCellMar>
            <w:top w:w="0" w:type="dxa"/>
            <w:left w:w="0" w:type="dxa"/>
            <w:bottom w:w="0" w:type="dxa"/>
            <w:right w:w="0" w:type="dxa"/>
          </w:tblCellMar>
        </w:tblPrEx>
        <w:trPr>
          <w:trHeight w:val="478" w:hRule="exact"/>
        </w:trPr>
        <w:tc>
          <w:tcPr>
            <w:tcW w:w="87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w:t>
            </w:r>
          </w:p>
        </w:tc>
        <w:tc>
          <w:tcPr>
            <w:tcW w:w="2513"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630</w:t>
            </w:r>
          </w:p>
        </w:tc>
        <w:tc>
          <w:tcPr>
            <w:tcW w:w="297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300</w:t>
            </w:r>
          </w:p>
        </w:tc>
      </w:tr>
      <w:tr>
        <w:trPr>
          <w:trHeight w:val="478" w:hRule="exact"/>
        </w:trPr>
        <w:tc>
          <w:tcPr>
            <w:tcW w:w="87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w:t>
            </w:r>
          </w:p>
        </w:tc>
        <w:tc>
          <w:tcPr>
            <w:tcW w:w="2513"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1000</w:t>
            </w:r>
          </w:p>
        </w:tc>
        <w:tc>
          <w:tcPr>
            <w:tcW w:w="297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500</w:t>
            </w:r>
          </w:p>
        </w:tc>
      </w:tr>
      <w:tr>
        <w:tblPrEx>
          <w:tblCellMar>
            <w:top w:w="0" w:type="dxa"/>
            <w:left w:w="0" w:type="dxa"/>
            <w:bottom w:w="0" w:type="dxa"/>
            <w:right w:w="0" w:type="dxa"/>
          </w:tblCellMar>
        </w:tblPrEx>
        <w:trPr>
          <w:trHeight w:val="478" w:hRule="exact"/>
        </w:trPr>
        <w:tc>
          <w:tcPr>
            <w:tcW w:w="87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w:t>
            </w:r>
          </w:p>
        </w:tc>
        <w:tc>
          <w:tcPr>
            <w:tcW w:w="2513"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2000</w:t>
            </w:r>
          </w:p>
        </w:tc>
        <w:tc>
          <w:tcPr>
            <w:tcW w:w="297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1000</w:t>
            </w:r>
          </w:p>
        </w:tc>
      </w:tr>
      <w:tr>
        <w:tblPrEx>
          <w:tblCellMar>
            <w:top w:w="0" w:type="dxa"/>
            <w:left w:w="0" w:type="dxa"/>
            <w:bottom w:w="0" w:type="dxa"/>
            <w:right w:w="0" w:type="dxa"/>
          </w:tblCellMar>
        </w:tblPrEx>
        <w:trPr>
          <w:trHeight w:val="478" w:hRule="exact"/>
        </w:trPr>
        <w:tc>
          <w:tcPr>
            <w:tcW w:w="872"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4</w:t>
            </w:r>
          </w:p>
        </w:tc>
        <w:tc>
          <w:tcPr>
            <w:tcW w:w="2513"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3200</w:t>
            </w:r>
          </w:p>
        </w:tc>
        <w:tc>
          <w:tcPr>
            <w:tcW w:w="297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2000</w:t>
            </w:r>
          </w:p>
        </w:tc>
      </w:tr>
    </w:tbl>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应注明柜体内所采用的铜母线规格。</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（13）</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短路强度</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开关柜的结构应能耐受设计规定的额定短路电流产生的热应力和电动应力。</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（14）</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开关柜中母线和导线的颜色和排列</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装置中母线的色标符合相应的国标中的规定。</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外部保护导体的接线端将按要求标上接地符号。</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装置内母线的相序排列从装置正面观察,尽量符合下表的规定。</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bl>
      <w:tblPr>
        <w:tblStyle w:val="11"/>
        <w:tblW w:w="0" w:type="auto"/>
        <w:tblInd w:w="2030" w:type="dxa"/>
        <w:tblLayout w:type="fixed"/>
        <w:tblCellMar>
          <w:top w:w="0" w:type="dxa"/>
          <w:left w:w="0" w:type="dxa"/>
          <w:bottom w:w="0" w:type="dxa"/>
          <w:right w:w="0" w:type="dxa"/>
        </w:tblCellMar>
      </w:tblPr>
      <w:tblGrid>
        <w:gridCol w:w="2742"/>
        <w:gridCol w:w="1056"/>
        <w:gridCol w:w="1056"/>
        <w:gridCol w:w="1056"/>
      </w:tblGrid>
      <w:tr>
        <w:tblPrEx>
          <w:tblCellMar>
            <w:top w:w="0" w:type="dxa"/>
            <w:left w:w="0" w:type="dxa"/>
            <w:bottom w:w="0" w:type="dxa"/>
            <w:right w:w="0" w:type="dxa"/>
          </w:tblCellMar>
        </w:tblPrEx>
        <w:trPr>
          <w:trHeight w:val="481" w:hRule="exact"/>
        </w:trPr>
        <w:tc>
          <w:tcPr>
            <w:tcW w:w="2742" w:type="dxa"/>
            <w:tcBorders>
              <w:top w:val="single" w:color="000000" w:sz="6" w:space="0"/>
              <w:left w:val="single" w:color="000000" w:sz="6"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类别</w:t>
            </w:r>
          </w:p>
        </w:tc>
        <w:tc>
          <w:tcPr>
            <w:tcW w:w="1056" w:type="dxa"/>
            <w:tcBorders>
              <w:top w:val="single" w:color="000000" w:sz="6" w:space="0"/>
              <w:left w:val="single" w:color="000000" w:sz="6"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垂直排列</w:t>
            </w:r>
          </w:p>
        </w:tc>
        <w:tc>
          <w:tcPr>
            <w:tcW w:w="1056" w:type="dxa"/>
            <w:tcBorders>
              <w:top w:val="single" w:color="000000" w:sz="6" w:space="0"/>
              <w:left w:val="single" w:color="000000" w:sz="6"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水平排列</w:t>
            </w:r>
          </w:p>
        </w:tc>
        <w:tc>
          <w:tcPr>
            <w:tcW w:w="1056" w:type="dxa"/>
            <w:tcBorders>
              <w:top w:val="single" w:color="000000" w:sz="6" w:space="0"/>
              <w:left w:val="single" w:color="000000" w:sz="6"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前后排列</w:t>
            </w:r>
          </w:p>
        </w:tc>
      </w:tr>
    </w:tbl>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bl>
      <w:tblPr>
        <w:tblStyle w:val="11"/>
        <w:tblW w:w="8312" w:type="dxa"/>
        <w:tblInd w:w="829" w:type="dxa"/>
        <w:tblLayout w:type="fixed"/>
        <w:tblCellMar>
          <w:top w:w="0" w:type="dxa"/>
          <w:left w:w="0" w:type="dxa"/>
          <w:bottom w:w="0" w:type="dxa"/>
          <w:right w:w="0" w:type="dxa"/>
        </w:tblCellMar>
      </w:tblPr>
      <w:tblGrid>
        <w:gridCol w:w="1201"/>
        <w:gridCol w:w="636"/>
        <w:gridCol w:w="2106"/>
        <w:gridCol w:w="1056"/>
        <w:gridCol w:w="1056"/>
        <w:gridCol w:w="1056"/>
        <w:gridCol w:w="1201"/>
      </w:tblGrid>
      <w:tr>
        <w:tblPrEx>
          <w:tblCellMar>
            <w:top w:w="0" w:type="dxa"/>
            <w:left w:w="0" w:type="dxa"/>
            <w:bottom w:w="0" w:type="dxa"/>
            <w:right w:w="0" w:type="dxa"/>
          </w:tblCellMar>
        </w:tblPrEx>
        <w:trPr>
          <w:trHeight w:val="498" w:hRule="exact"/>
        </w:trPr>
        <w:tc>
          <w:tcPr>
            <w:tcW w:w="120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63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交流</w:t>
            </w:r>
          </w:p>
        </w:tc>
        <w:tc>
          <w:tcPr>
            <w:tcW w:w="210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L1 相</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上</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左</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远</w:t>
            </w:r>
          </w:p>
        </w:tc>
        <w:tc>
          <w:tcPr>
            <w:tcW w:w="120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r>
      <w:tr>
        <w:tblPrEx>
          <w:tblCellMar>
            <w:top w:w="0" w:type="dxa"/>
            <w:left w:w="0" w:type="dxa"/>
            <w:bottom w:w="0" w:type="dxa"/>
            <w:right w:w="0" w:type="dxa"/>
          </w:tblCellMar>
        </w:tblPrEx>
        <w:trPr>
          <w:trHeight w:val="483" w:hRule="exact"/>
        </w:trPr>
        <w:tc>
          <w:tcPr>
            <w:tcW w:w="1201"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636"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210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L2 相</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中</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中</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中</w:t>
            </w:r>
          </w:p>
        </w:tc>
        <w:tc>
          <w:tcPr>
            <w:tcW w:w="1201"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r>
      <w:tr>
        <w:tblPrEx>
          <w:tblCellMar>
            <w:top w:w="0" w:type="dxa"/>
            <w:left w:w="0" w:type="dxa"/>
            <w:bottom w:w="0" w:type="dxa"/>
            <w:right w:w="0" w:type="dxa"/>
          </w:tblCellMar>
        </w:tblPrEx>
        <w:trPr>
          <w:trHeight w:val="467" w:hRule="exact"/>
        </w:trPr>
        <w:tc>
          <w:tcPr>
            <w:tcW w:w="1201"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636"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2106" w:type="dxa"/>
            <w:tcBorders>
              <w:top w:val="single" w:color="auto" w:sz="4" w:space="0"/>
              <w:left w:val="single" w:color="auto" w:sz="4"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L3 相</w:t>
            </w:r>
          </w:p>
        </w:tc>
        <w:tc>
          <w:tcPr>
            <w:tcW w:w="1056" w:type="dxa"/>
            <w:tcBorders>
              <w:top w:val="single" w:color="auto" w:sz="4" w:space="0"/>
              <w:left w:val="single" w:color="000000" w:sz="6"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下</w:t>
            </w:r>
          </w:p>
        </w:tc>
        <w:tc>
          <w:tcPr>
            <w:tcW w:w="1056" w:type="dxa"/>
            <w:tcBorders>
              <w:top w:val="single" w:color="auto" w:sz="4" w:space="0"/>
              <w:left w:val="single" w:color="000000" w:sz="6" w:space="0"/>
              <w:bottom w:val="single" w:color="000000" w:sz="6"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右</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近</w:t>
            </w:r>
          </w:p>
        </w:tc>
        <w:tc>
          <w:tcPr>
            <w:tcW w:w="1201"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r>
      <w:tr>
        <w:tblPrEx>
          <w:tblCellMar>
            <w:top w:w="0" w:type="dxa"/>
            <w:left w:w="0" w:type="dxa"/>
            <w:bottom w:w="0" w:type="dxa"/>
            <w:right w:w="0" w:type="dxa"/>
          </w:tblCellMar>
        </w:tblPrEx>
        <w:trPr>
          <w:trHeight w:val="483" w:hRule="exact"/>
        </w:trPr>
        <w:tc>
          <w:tcPr>
            <w:tcW w:w="1201"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636"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2106" w:type="dxa"/>
            <w:tcBorders>
              <w:top w:val="single" w:color="000000" w:sz="6" w:space="0"/>
              <w:left w:val="single" w:color="auto" w:sz="4"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中性线、中性保护线</w:t>
            </w:r>
          </w:p>
        </w:tc>
        <w:tc>
          <w:tcPr>
            <w:tcW w:w="1056" w:type="dxa"/>
            <w:tcBorders>
              <w:top w:val="single" w:color="000000" w:sz="6" w:space="0"/>
              <w:left w:val="single" w:color="000000" w:sz="6"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最下</w:t>
            </w:r>
          </w:p>
        </w:tc>
        <w:tc>
          <w:tcPr>
            <w:tcW w:w="1056" w:type="dxa"/>
            <w:tcBorders>
              <w:top w:val="single" w:color="000000" w:sz="6" w:space="0"/>
              <w:left w:val="single" w:color="000000" w:sz="6" w:space="0"/>
              <w:bottom w:val="single" w:color="000000" w:sz="6"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最右</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最近</w:t>
            </w:r>
          </w:p>
        </w:tc>
        <w:tc>
          <w:tcPr>
            <w:tcW w:w="1201"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r>
      <w:tr>
        <w:tblPrEx>
          <w:tblCellMar>
            <w:top w:w="0" w:type="dxa"/>
            <w:left w:w="0" w:type="dxa"/>
            <w:bottom w:w="0" w:type="dxa"/>
            <w:right w:w="0" w:type="dxa"/>
          </w:tblCellMar>
        </w:tblPrEx>
        <w:trPr>
          <w:trHeight w:val="483" w:hRule="exact"/>
        </w:trPr>
        <w:tc>
          <w:tcPr>
            <w:tcW w:w="1201"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63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直流</w:t>
            </w:r>
          </w:p>
        </w:tc>
        <w:tc>
          <w:tcPr>
            <w:tcW w:w="2106" w:type="dxa"/>
            <w:tcBorders>
              <w:top w:val="single" w:color="000000" w:sz="6" w:space="0"/>
              <w:left w:val="single" w:color="auto" w:sz="4"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正极</w:t>
            </w:r>
          </w:p>
        </w:tc>
        <w:tc>
          <w:tcPr>
            <w:tcW w:w="1056" w:type="dxa"/>
            <w:tcBorders>
              <w:top w:val="single" w:color="000000" w:sz="6" w:space="0"/>
              <w:left w:val="single" w:color="000000" w:sz="6"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上</w:t>
            </w:r>
          </w:p>
        </w:tc>
        <w:tc>
          <w:tcPr>
            <w:tcW w:w="1056" w:type="dxa"/>
            <w:tcBorders>
              <w:top w:val="single" w:color="000000" w:sz="6" w:space="0"/>
              <w:left w:val="single" w:color="000000" w:sz="6" w:space="0"/>
              <w:bottom w:val="single" w:color="000000" w:sz="6"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左</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远</w:t>
            </w:r>
          </w:p>
        </w:tc>
        <w:tc>
          <w:tcPr>
            <w:tcW w:w="1201"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r>
      <w:tr>
        <w:tblPrEx>
          <w:tblCellMar>
            <w:top w:w="0" w:type="dxa"/>
            <w:left w:w="0" w:type="dxa"/>
            <w:bottom w:w="0" w:type="dxa"/>
            <w:right w:w="0" w:type="dxa"/>
          </w:tblCellMar>
        </w:tblPrEx>
        <w:trPr>
          <w:trHeight w:val="483" w:hRule="exact"/>
        </w:trPr>
        <w:tc>
          <w:tcPr>
            <w:tcW w:w="1201" w:type="dxa"/>
            <w:vMerge w:val="continue"/>
            <w:tcBorders>
              <w:top w:val="single" w:color="auto" w:sz="4" w:space="0"/>
              <w:left w:val="single" w:color="auto" w:sz="4" w:space="0"/>
              <w:bottom w:val="single" w:color="auto" w:sz="4"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636" w:type="dxa"/>
            <w:vMerge w:val="continue"/>
            <w:tcBorders>
              <w:top w:val="single" w:color="auto" w:sz="4" w:space="0"/>
              <w:left w:val="single" w:color="000000" w:sz="6"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c>
          <w:tcPr>
            <w:tcW w:w="2106" w:type="dxa"/>
            <w:tcBorders>
              <w:top w:val="single" w:color="000000" w:sz="6" w:space="0"/>
              <w:left w:val="single" w:color="auto" w:sz="4"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负极</w:t>
            </w:r>
          </w:p>
        </w:tc>
        <w:tc>
          <w:tcPr>
            <w:tcW w:w="1056" w:type="dxa"/>
            <w:tcBorders>
              <w:top w:val="single" w:color="000000" w:sz="6" w:space="0"/>
              <w:left w:val="single" w:color="000000" w:sz="6" w:space="0"/>
              <w:bottom w:val="single" w:color="000000" w:sz="6" w:space="0"/>
              <w:right w:val="single" w:color="000000" w:sz="6"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下</w:t>
            </w:r>
          </w:p>
        </w:tc>
        <w:tc>
          <w:tcPr>
            <w:tcW w:w="1056" w:type="dxa"/>
            <w:tcBorders>
              <w:top w:val="single" w:color="000000" w:sz="6" w:space="0"/>
              <w:left w:val="single" w:color="000000" w:sz="6" w:space="0"/>
              <w:bottom w:val="single" w:color="000000" w:sz="6"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右</w:t>
            </w:r>
          </w:p>
        </w:tc>
        <w:tc>
          <w:tcPr>
            <w:tcW w:w="105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近</w:t>
            </w:r>
          </w:p>
        </w:tc>
        <w:tc>
          <w:tcPr>
            <w:tcW w:w="1201"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p>
        </w:tc>
      </w:tr>
    </w:tbl>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（15）</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测量仪表</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每一路 400V 进线及部分馈线开关分别配置多功能智能电表（详见设 计图），用于测量交流电量，具体要求如下：</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接线制式：三相四线制 测量范围：至少包括三相电压、电流、有功电度、无功电度 测量精度：进线电流 0.5 级、电度 0.5 级；馈线电流 0.5 级、电度 1.0 级。</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显示方式：LCD 或 LED。 乙方应提供多功能智能电表的型号和具体技术参数供甲方参考。 其余需配置电流表的馈线回路详见设计图。</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二次回路导线应有足够的截面以保证互感器的准确度。 c</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断路器的保护功能配置应不少于：</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进线柜框架断路器：过载长延时过流保护，短延时过流保护，短路瞬时 保护 和失压保护。 馈线回路断路器：过载长延时过流保护，短路瞬时保护 。</w:t>
      </w:r>
    </w:p>
    <w:p>
      <w:pPr>
        <w:keepNext w:val="0"/>
        <w:keepLines w:val="0"/>
        <w:pageBreakBefore w:val="0"/>
        <w:numPr>
          <w:ilvl w:val="0"/>
          <w:numId w:val="1"/>
        </w:numPr>
        <w:kinsoku/>
        <w:wordWrap/>
        <w:overflowPunct/>
        <w:topLinePunct w:val="0"/>
        <w:bidi w:val="0"/>
        <w:adjustRightInd w:val="0"/>
        <w:snapToGrid w:val="0"/>
        <w:spacing w:line="460" w:lineRule="exact"/>
        <w:rPr>
          <w:rFonts w:hint="default" w:ascii="Times New Roman" w:hAnsi="Times New Roman" w:eastAsia="方正仿宋_GBK" w:cs="Times New Roman"/>
        </w:rPr>
      </w:pPr>
      <w:r>
        <w:rPr>
          <w:rFonts w:hint="default" w:ascii="Times New Roman" w:hAnsi="Times New Roman" w:eastAsia="方正仿宋_GBK" w:cs="Times New Roman"/>
          <w:smallCaps w:val="0"/>
          <w:sz w:val="24"/>
          <w:szCs w:val="28"/>
        </w:rPr>
        <w:t>框架断路器</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highlight w:val="none"/>
        </w:rPr>
      </w:pPr>
      <w:r>
        <w:rPr>
          <w:rFonts w:hint="default" w:ascii="Times New Roman" w:hAnsi="Times New Roman" w:eastAsia="方正仿宋_GBK" w:cs="Times New Roman"/>
          <w:smallCaps w:val="0"/>
          <w:sz w:val="24"/>
          <w:szCs w:val="28"/>
          <w:highlight w:val="none"/>
          <w:lang w:eastAsia="zh-CN"/>
        </w:rPr>
        <w:t>（</w:t>
      </w:r>
      <w:r>
        <w:rPr>
          <w:rFonts w:hint="default" w:ascii="Times New Roman" w:hAnsi="Times New Roman" w:eastAsia="方正仿宋_GBK" w:cs="Times New Roman"/>
          <w:smallCaps w:val="0"/>
          <w:sz w:val="24"/>
          <w:szCs w:val="28"/>
          <w:highlight w:val="none"/>
          <w:lang w:val="en-US" w:eastAsia="zh-CN"/>
        </w:rPr>
        <w:t>推荐厂家：</w:t>
      </w:r>
      <w:r>
        <w:rPr>
          <w:rFonts w:hint="default" w:ascii="Times New Roman" w:hAnsi="Times New Roman" w:eastAsia="方正仿宋_GBK" w:cs="Times New Roman"/>
          <w:smallCaps w:val="0"/>
          <w:sz w:val="24"/>
          <w:szCs w:val="28"/>
          <w:highlight w:val="none"/>
        </w:rPr>
        <w:t>贵州泰永长征技术股份有限公司</w:t>
      </w:r>
      <w:r>
        <w:rPr>
          <w:rFonts w:hint="default" w:ascii="Times New Roman" w:hAnsi="Times New Roman" w:eastAsia="方正仿宋_GBK" w:cs="Times New Roman"/>
          <w:smallCaps w:val="0"/>
          <w:sz w:val="24"/>
          <w:szCs w:val="28"/>
          <w:highlight w:val="none"/>
          <w:lang w:val="en-US" w:eastAsia="zh-CN"/>
        </w:rPr>
        <w:t>、</w:t>
      </w:r>
      <w:r>
        <w:rPr>
          <w:rFonts w:hint="default" w:ascii="Times New Roman" w:hAnsi="Times New Roman" w:eastAsia="方正仿宋_GBK" w:cs="Times New Roman"/>
          <w:smallCaps w:val="0"/>
          <w:sz w:val="24"/>
          <w:szCs w:val="28"/>
          <w:highlight w:val="none"/>
        </w:rPr>
        <w:t>罗格朗低压电器（无锡）有限公司</w:t>
      </w:r>
      <w:r>
        <w:rPr>
          <w:rFonts w:hint="default" w:ascii="Times New Roman" w:hAnsi="Times New Roman" w:eastAsia="方正仿宋_GBK" w:cs="Times New Roman"/>
          <w:smallCaps w:val="0"/>
          <w:sz w:val="24"/>
          <w:szCs w:val="28"/>
          <w:highlight w:val="none"/>
          <w:lang w:val="en-US" w:eastAsia="zh-CN"/>
        </w:rPr>
        <w:t>、</w:t>
      </w:r>
      <w:r>
        <w:rPr>
          <w:rFonts w:hint="default" w:ascii="Times New Roman" w:hAnsi="Times New Roman" w:eastAsia="方正仿宋_GBK" w:cs="Times New Roman"/>
          <w:smallCaps w:val="0"/>
          <w:sz w:val="24"/>
          <w:szCs w:val="28"/>
          <w:highlight w:val="none"/>
        </w:rPr>
        <w:t>海格电气（惠州）有限公司</w:t>
      </w:r>
      <w:r>
        <w:rPr>
          <w:rFonts w:hint="default" w:ascii="Times New Roman" w:hAnsi="Times New Roman" w:eastAsia="方正仿宋_GBK" w:cs="Times New Roman"/>
          <w:smallCaps w:val="0"/>
          <w:sz w:val="24"/>
          <w:szCs w:val="28"/>
          <w:highlight w:val="none"/>
          <w:lang w:eastAsia="zh-CN"/>
        </w:rPr>
        <w:t>、</w:t>
      </w:r>
      <w:r>
        <w:rPr>
          <w:rFonts w:hint="default" w:ascii="Times New Roman" w:hAnsi="Times New Roman" w:eastAsia="方正仿宋_GBK" w:cs="Times New Roman"/>
          <w:smallCaps w:val="0"/>
          <w:sz w:val="24"/>
          <w:szCs w:val="28"/>
          <w:highlight w:val="none"/>
        </w:rPr>
        <w:t>北京北元电器有限公司</w:t>
      </w:r>
      <w:r>
        <w:rPr>
          <w:rFonts w:hint="default" w:ascii="Times New Roman" w:hAnsi="Times New Roman" w:eastAsia="方正仿宋_GBK" w:cs="Times New Roman"/>
          <w:smallCaps w:val="0"/>
          <w:sz w:val="24"/>
          <w:szCs w:val="28"/>
          <w:highlight w:val="none"/>
          <w:lang w:eastAsia="zh-CN"/>
        </w:rPr>
        <w:t>）。</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框架断路器应符合相关标准，包括 IEC60947-2 以及 GB14048.2。 框架断路器主要技术要求如下：</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额定绝缘电压：AC1000V</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额定工作电压：AC690V</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c 额定冲击耐受电压：≥12KV </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 额定电流：见图</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 分断能力：</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lang w:val="en-US" w:eastAsia="zh-CN"/>
        </w:rPr>
      </w:pPr>
      <w:r>
        <w:rPr>
          <w:rFonts w:hint="default" w:ascii="Times New Roman" w:hAnsi="Times New Roman" w:eastAsia="方正仿宋_GBK" w:cs="Times New Roman"/>
          <w:smallCaps w:val="0"/>
          <w:sz w:val="24"/>
          <w:szCs w:val="28"/>
        </w:rPr>
        <w:t>小于或等于 2500A， 65k</w:t>
      </w:r>
      <w:r>
        <w:rPr>
          <w:rFonts w:hint="default" w:ascii="Times New Roman" w:hAnsi="Times New Roman" w:eastAsia="方正仿宋_GBK" w:cs="Times New Roman"/>
          <w:smallCaps w:val="0"/>
          <w:sz w:val="24"/>
          <w:szCs w:val="28"/>
          <w:lang w:val="en-US" w:eastAsia="zh-CN"/>
        </w:rPr>
        <w:t>A</w:t>
      </w:r>
    </w:p>
    <w:p>
      <w:pPr>
        <w:keepNext w:val="0"/>
        <w:keepLines w:val="0"/>
        <w:pageBreakBefore w:val="0"/>
        <w:kinsoku/>
        <w:wordWrap/>
        <w:overflowPunct/>
        <w:topLinePunct w:val="0"/>
        <w:bidi w:val="0"/>
        <w:adjustRightInd w:val="0"/>
        <w:snapToGrid w:val="0"/>
        <w:spacing w:line="460" w:lineRule="exact"/>
        <w:ind w:firstLine="480" w:firstLineChars="200"/>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大于 2500A, 85kA</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f 为满足近远期用电负荷的变化，要求框架式断路器的脱扣整定电流采用现 场可调型，保护脱扣器模块化，后期可直接更换保护脱扣器升级到高级保护脱扣器，支持中文操作界面；同时升级后的脱扣器具有现场扩展功能，可配置通讯 模块 RS485 modbus（或者 DeviceNet），测量模块，信号模块等；二次接线插拔式端子。断路器机械机构模块化，可现场更换储能电机、分合闸线圈、辅助线圈等。</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g 为保证操作人员安全，断路器需为双重绝缘。为便于低压柜生产厂生产和 安装的方便，同壳架的框架断路器整体外形同高、同深，可以方便断路器功能的 扩充而无需改变断路器结构和低压开关柜结构。为减少备品备件的库存及维护、维修方便，断路器附件应全系列通用。 </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h 电子微处理器脱扣器功能：</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过载保护 L（具有反时限长延时脱扣特性）： (0.4～1)×In （3～144s） 选择性短路保护 S（具有反时限短延时脱扣特性）： (0.6～10)×In（0.05～</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0.8s）</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瞬时短路保护 I：（1.5～15）×In</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i 框架断路器一次回路采用铜导体，且符合 T2 电工用铜标准，生产工厂提供保证函；</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w:t>
      </w:r>
      <w:r>
        <w:rPr>
          <w:rFonts w:hint="default" w:ascii="Times New Roman" w:hAnsi="Times New Roman" w:eastAsia="方正仿宋_GBK" w:cs="Times New Roman"/>
          <w:smallCaps w:val="0"/>
          <w:sz w:val="24"/>
          <w:szCs w:val="28"/>
          <w:lang w:val="en-US" w:eastAsia="zh-CN"/>
        </w:rPr>
        <w:t>7</w:t>
      </w:r>
      <w:r>
        <w:rPr>
          <w:rFonts w:hint="default" w:ascii="Times New Roman" w:hAnsi="Times New Roman" w:eastAsia="方正仿宋_GBK" w:cs="Times New Roman"/>
          <w:smallCaps w:val="0"/>
          <w:sz w:val="24"/>
          <w:szCs w:val="28"/>
        </w:rPr>
        <w:t>）</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塑壳断路器</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塑壳断路器应符合相关标准，包括 IEC60947-2 以及 GB14048.2。 塑壳断路器主要技术要求如下：</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额定工作电压：AC690V 额定绝缘电压：AC800V 额定冲击耐受电压：≥8kV 分断能力：Icu≥</w:t>
      </w:r>
      <w:r>
        <w:rPr>
          <w:rFonts w:hint="default" w:ascii="Times New Roman" w:hAnsi="Times New Roman" w:eastAsia="方正仿宋_GBK" w:cs="Times New Roman"/>
          <w:smallCaps w:val="0"/>
          <w:sz w:val="24"/>
          <w:szCs w:val="28"/>
          <w:lang w:val="en-US" w:eastAsia="zh-CN"/>
        </w:rPr>
        <w:t>6</w:t>
      </w:r>
      <w:r>
        <w:rPr>
          <w:rFonts w:hint="default" w:ascii="Times New Roman" w:hAnsi="Times New Roman" w:eastAsia="方正仿宋_GBK" w:cs="Times New Roman"/>
          <w:smallCaps w:val="0"/>
          <w:sz w:val="24"/>
          <w:szCs w:val="28"/>
        </w:rPr>
        <w:t>5kA 额定电流：16A～1600A (根据图纸)</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MCCB 脱扣器：额定电流 500A 以内（包括 500A）保护功能至少包括：长延时 保护、短路瞬时保护。</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lang w:eastAsia="zh-CN"/>
        </w:rPr>
      </w:pPr>
      <w:r>
        <w:rPr>
          <w:rFonts w:hint="default" w:ascii="Times New Roman" w:hAnsi="Times New Roman" w:eastAsia="方正仿宋_GBK" w:cs="Times New Roman"/>
          <w:smallCaps w:val="0"/>
          <w:sz w:val="24"/>
          <w:szCs w:val="28"/>
        </w:rPr>
        <w:t>额定电流 500A 以上采用电子脱扣器，保护功能至少包括：长延时保护、短 路短延时保护、短路瞬时保护，为使保护整定更精确，长延时整定范围 0.4～1In， 短路瞬时整定范围 1.5～10In，但当安装场所电磁干扰严重时，全系列优先选用 热磁脱扣器</w:t>
      </w:r>
      <w:r>
        <w:rPr>
          <w:rFonts w:hint="default" w:ascii="Times New Roman" w:hAnsi="Times New Roman" w:eastAsia="方正仿宋_GBK" w:cs="Times New Roman"/>
          <w:smallCaps w:val="0"/>
          <w:sz w:val="24"/>
          <w:szCs w:val="28"/>
          <w:lang w:eastAsia="zh-CN"/>
        </w:rPr>
        <w:t>。</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塑壳断路器附件安装在安装槽内，安装时不会碰到内部主回路，可带电安装；</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color w:val="auto"/>
          <w:sz w:val="24"/>
          <w:szCs w:val="28"/>
          <w:highlight w:val="none"/>
          <w:lang w:val="en-US" w:eastAsia="zh-CN"/>
        </w:rPr>
      </w:pPr>
      <w:r>
        <w:rPr>
          <w:rFonts w:hint="default" w:ascii="Times New Roman" w:hAnsi="Times New Roman" w:eastAsia="方正仿宋_GBK" w:cs="Times New Roman"/>
          <w:smallCaps w:val="0"/>
          <w:sz w:val="24"/>
          <w:szCs w:val="28"/>
          <w:highlight w:val="none"/>
        </w:rPr>
        <w:t>断路器</w:t>
      </w:r>
      <w:r>
        <w:rPr>
          <w:rFonts w:hint="default" w:ascii="Times New Roman" w:hAnsi="Times New Roman" w:eastAsia="方正仿宋_GBK" w:cs="Times New Roman"/>
          <w:smallCaps w:val="0"/>
          <w:sz w:val="24"/>
          <w:szCs w:val="28"/>
          <w:highlight w:val="none"/>
          <w:lang w:val="en-US" w:eastAsia="zh-CN"/>
        </w:rPr>
        <w:t>(推荐厂家：</w:t>
      </w:r>
      <w:r>
        <w:rPr>
          <w:rFonts w:hint="default" w:ascii="Times New Roman" w:hAnsi="Times New Roman" w:eastAsia="方正仿宋_GBK" w:cs="Times New Roman"/>
          <w:smallCaps w:val="0"/>
          <w:sz w:val="24"/>
          <w:szCs w:val="28"/>
          <w:highlight w:val="none"/>
        </w:rPr>
        <w:t>贵州泰永长征技术股份有限公司</w:t>
      </w:r>
      <w:r>
        <w:rPr>
          <w:rFonts w:hint="default" w:ascii="Times New Roman" w:hAnsi="Times New Roman" w:eastAsia="方正仿宋_GBK" w:cs="Times New Roman"/>
          <w:smallCaps w:val="0"/>
          <w:sz w:val="24"/>
          <w:szCs w:val="28"/>
          <w:highlight w:val="none"/>
          <w:lang w:val="en-US" w:eastAsia="zh-CN"/>
        </w:rPr>
        <w:t>、</w:t>
      </w:r>
      <w:r>
        <w:rPr>
          <w:rFonts w:hint="default" w:ascii="Times New Roman" w:hAnsi="Times New Roman" w:eastAsia="方正仿宋_GBK" w:cs="Times New Roman"/>
          <w:smallCaps w:val="0"/>
          <w:sz w:val="24"/>
          <w:szCs w:val="28"/>
          <w:highlight w:val="none"/>
        </w:rPr>
        <w:t>罗格朗低压电器（无锡）有限公司</w:t>
      </w:r>
      <w:r>
        <w:rPr>
          <w:rFonts w:hint="default" w:ascii="Times New Roman" w:hAnsi="Times New Roman" w:eastAsia="方正仿宋_GBK" w:cs="Times New Roman"/>
          <w:smallCaps w:val="0"/>
          <w:sz w:val="24"/>
          <w:szCs w:val="28"/>
          <w:highlight w:val="none"/>
          <w:lang w:val="en-US" w:eastAsia="zh-CN"/>
        </w:rPr>
        <w:t>、</w:t>
      </w:r>
      <w:r>
        <w:rPr>
          <w:rFonts w:hint="default" w:ascii="Times New Roman" w:hAnsi="Times New Roman" w:eastAsia="方正仿宋_GBK" w:cs="Times New Roman"/>
          <w:smallCaps w:val="0"/>
          <w:sz w:val="24"/>
          <w:szCs w:val="28"/>
          <w:highlight w:val="none"/>
        </w:rPr>
        <w:t>海格电气（惠州）有限公司</w:t>
      </w:r>
      <w:r>
        <w:rPr>
          <w:rFonts w:hint="default" w:ascii="Times New Roman" w:hAnsi="Times New Roman" w:eastAsia="方正仿宋_GBK" w:cs="Times New Roman"/>
          <w:smallCaps w:val="0"/>
          <w:sz w:val="24"/>
          <w:szCs w:val="28"/>
          <w:highlight w:val="none"/>
          <w:lang w:eastAsia="zh-CN"/>
        </w:rPr>
        <w:t>、</w:t>
      </w:r>
      <w:r>
        <w:rPr>
          <w:rFonts w:hint="default" w:ascii="Times New Roman" w:hAnsi="Times New Roman" w:eastAsia="方正仿宋_GBK" w:cs="Times New Roman"/>
          <w:smallCaps w:val="0"/>
          <w:sz w:val="24"/>
          <w:szCs w:val="28"/>
          <w:highlight w:val="none"/>
        </w:rPr>
        <w:t>北京北元电器有限公司</w:t>
      </w:r>
      <w:r>
        <w:rPr>
          <w:rFonts w:hint="default" w:ascii="Times New Roman" w:hAnsi="Times New Roman" w:eastAsia="方正仿宋_GBK" w:cs="Times New Roman"/>
          <w:smallCaps w:val="0"/>
          <w:sz w:val="24"/>
          <w:szCs w:val="28"/>
          <w:highlight w:val="none"/>
          <w:lang w:eastAsia="zh-CN"/>
        </w:rPr>
        <w:t>）。</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w:t>
      </w:r>
      <w:r>
        <w:rPr>
          <w:rFonts w:hint="default" w:ascii="Times New Roman" w:hAnsi="Times New Roman" w:eastAsia="方正仿宋_GBK" w:cs="Times New Roman"/>
          <w:smallCaps w:val="0"/>
          <w:sz w:val="24"/>
          <w:szCs w:val="28"/>
          <w:lang w:val="en-US" w:eastAsia="zh-CN"/>
        </w:rPr>
        <w:t>8</w:t>
      </w:r>
      <w:r>
        <w:rPr>
          <w:rFonts w:hint="default" w:ascii="Times New Roman" w:hAnsi="Times New Roman" w:eastAsia="方正仿宋_GBK" w:cs="Times New Roman"/>
          <w:smallCaps w:val="0"/>
          <w:sz w:val="24"/>
          <w:szCs w:val="28"/>
        </w:rPr>
        <w:t>）</w:t>
      </w:r>
      <w:r>
        <w:rPr>
          <w:rFonts w:hint="default" w:ascii="Times New Roman" w:hAnsi="Times New Roman" w:eastAsia="方正仿宋_GBK" w:cs="Times New Roman"/>
          <w:smallCaps w:val="0"/>
          <w:sz w:val="24"/>
          <w:szCs w:val="28"/>
        </w:rPr>
        <w:tab/>
      </w:r>
      <w:r>
        <w:rPr>
          <w:rFonts w:hint="default" w:ascii="Times New Roman" w:hAnsi="Times New Roman" w:eastAsia="方正仿宋_GBK" w:cs="Times New Roman"/>
          <w:smallCaps w:val="0"/>
          <w:sz w:val="24"/>
          <w:szCs w:val="28"/>
        </w:rPr>
        <w:t>浪涌保护器（SPD）</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为了消除雷电和操作过电压的影响，配电箱设置电涌保护器，并加装前置保 护电器。模块化产品，具备过热保护功能，具备过热保护脱扣指示窗口。SPD 应 满足以下技术要求：</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1)SPD 满足 I 类实验要求，最大持续工作电压 255V，冲击电流 25kA，截断能 力 7kA。</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2）SPD 采用插拔式，具备过热保护功能，具备过热保护脱扣指示窗口。</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3）SPD 前端采用熔断器保护。</w:t>
      </w:r>
    </w:p>
    <w:p>
      <w:pPr>
        <w:keepNext w:val="0"/>
        <w:keepLines w:val="0"/>
        <w:pageBreakBefore w:val="0"/>
        <w:kinsoku/>
        <w:wordWrap/>
        <w:overflowPunct/>
        <w:topLinePunct w:val="0"/>
        <w:bidi w:val="0"/>
        <w:adjustRightInd w:val="0"/>
        <w:snapToGrid w:val="0"/>
        <w:spacing w:line="460" w:lineRule="exac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4）阻燃等级：V0 级。</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val="en-US" w:eastAsia="zh-CN"/>
        </w:rPr>
        <w:t>(19)</w:t>
      </w:r>
      <w:r>
        <w:rPr>
          <w:rFonts w:hint="default" w:ascii="Times New Roman" w:hAnsi="Times New Roman" w:eastAsia="方正仿宋_GBK" w:cs="Times New Roman"/>
          <w:smallCaps w:val="0"/>
          <w:sz w:val="24"/>
          <w:szCs w:val="28"/>
        </w:rPr>
        <w:t xml:space="preserve">  指示灯和按钮</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低压柜设置就地控制按钮、就地/远程控制转换开关及运行状态指示灯。所有指示灯和按钮颜色：合闸（接通）位置信号灯和按钮应为绿色，跳闸（断开）位置信号灯和按钮应为红色。从正面看，绿灯在左，红灯在右。</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val="en-US" w:eastAsia="zh-CN"/>
        </w:rPr>
        <w:t>（20）</w:t>
      </w:r>
      <w:r>
        <w:rPr>
          <w:rFonts w:hint="default" w:ascii="Times New Roman" w:hAnsi="Times New Roman" w:eastAsia="方正仿宋_GBK" w:cs="Times New Roman"/>
          <w:smallCaps w:val="0"/>
          <w:sz w:val="24"/>
          <w:szCs w:val="28"/>
        </w:rPr>
        <w:t>与干式变压器柜连接</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低压开关柜与变压器柜并排布置于配电室内。低压进线开关柜采用侧进线方式，与变压器连接的过渡母排由低压开关柜投标方负责提供及连接，母线截面应满足变压器最大输出容量的要求。干式变压器外壳由变压器投标方统一设计、制造。设备内外表层颜色由招标方另行确定。出线预留孔位置尺寸，变压器生产厂应与低压开关柜生产厂协调确定。</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21</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rPr>
        <w:t>电动机保护器</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电动机保护器均采用直接启动型，自带显示/操作面板和穿芯或外置CT。</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能够实现交流采样，三相电流、三相电压、漏电电流输入，自动计算接地电流；抗晃电功能，失压再启动、低压电机分批再启动功能；不少于10个开关量输入，可实现内部DC24V、外部AC220V、外部DC220V的数字量逻辑输入；根据用户需要，可外扩开关量输入；不少于6路开关量输出，可作为控制、保护、信号输出功能，并能外扩开关量输出；具备4-20mA输出，RS485通讯接口（Modbus/profibus协议可选）。</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能够记录电动机的当前运行、停车时间以及电动机的总运行、停车时间；记录本次启动电流和启动时间；记录总故障、分故障次数以及启停、重启动次数；记录故障脱扣信息、报警信息以及启动、停止和不小于16次SOE事件信息等；所有模拟量输入、输出和开关量输入、输出采用隔离方式，保证电气的安全隔离；软件和硬件能够实时自检等；具有内置实时时钟。</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highlight w:val="none"/>
          <w:lang w:val="en-US" w:eastAsia="zh-CN"/>
        </w:rPr>
      </w:pPr>
      <w:r>
        <w:rPr>
          <w:rFonts w:hint="default" w:ascii="Times New Roman" w:hAnsi="Times New Roman" w:eastAsia="方正仿宋_GBK" w:cs="Times New Roman"/>
          <w:smallCaps w:val="0"/>
          <w:sz w:val="24"/>
          <w:szCs w:val="28"/>
          <w:highlight w:val="none"/>
          <w:lang w:val="en-US" w:eastAsia="zh-CN"/>
        </w:rPr>
        <w:t>电动机保护器选用厂家：国产一线品牌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22</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rPr>
        <w:t xml:space="preserve"> 指示灯和按钮</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低压柜设置就地控制按钮、就地/远程控制转换开关及运行状态指示灯。所有指示灯和按钮颜色：合闸（接通）位置信号灯和按钮应为绿色，跳闸（断开）位置信号灯和按钮应为红色。从正面看，绿灯在左，红灯在右。</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23</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rPr>
        <w:t>室外动力配电柜及现场按钮盒等防护等级要求IP55以上，检修箱及现场按钮盒材质选用304不锈钢材质。</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color w:val="auto"/>
          <w:sz w:val="24"/>
          <w:szCs w:val="24"/>
          <w:u w:val="none"/>
          <w:lang w:val="en-US" w:eastAsia="zh-CN"/>
        </w:rPr>
      </w:pP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24</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color w:val="auto"/>
          <w:sz w:val="24"/>
          <w:szCs w:val="28"/>
          <w:u w:val="none"/>
        </w:rPr>
        <w:t xml:space="preserve"> </w:t>
      </w:r>
      <w:r>
        <w:rPr>
          <w:rFonts w:hint="default" w:ascii="Times New Roman" w:hAnsi="Times New Roman" w:eastAsia="方正仿宋_GBK" w:cs="Times New Roman"/>
          <w:smallCaps w:val="0"/>
          <w:color w:val="auto"/>
          <w:sz w:val="24"/>
          <w:szCs w:val="28"/>
          <w:u w:val="none"/>
          <w:lang w:val="en-US" w:eastAsia="zh-CN"/>
        </w:rPr>
        <w:t>低压变频器</w:t>
      </w:r>
      <w:r>
        <w:rPr>
          <w:rFonts w:hint="default" w:ascii="Times New Roman" w:hAnsi="Times New Roman" w:eastAsia="方正仿宋_GBK" w:cs="Times New Roman"/>
          <w:smallCaps w:val="0"/>
          <w:color w:val="auto"/>
          <w:sz w:val="24"/>
          <w:szCs w:val="24"/>
          <w:u w:val="none"/>
          <w:lang w:val="en-US" w:eastAsia="zh-CN"/>
        </w:rPr>
        <w:t>采用国产一线标准</w:t>
      </w:r>
      <w:r>
        <w:rPr>
          <w:rFonts w:hint="default" w:ascii="Times New Roman" w:hAnsi="Times New Roman" w:eastAsia="方正仿宋_GBK" w:cs="Times New Roman"/>
          <w:color w:val="auto"/>
          <w:sz w:val="24"/>
          <w:szCs w:val="24"/>
          <w:highlight w:val="none"/>
          <w:u w:val="none"/>
          <w:lang w:val="en-US" w:eastAsia="zh-CN"/>
        </w:rPr>
        <w:t>产品。</w:t>
      </w:r>
      <w:r>
        <w:rPr>
          <w:rFonts w:hint="default" w:ascii="Times New Roman" w:hAnsi="Times New Roman" w:eastAsia="方正仿宋_GBK" w:cs="Times New Roman"/>
          <w:smallCaps w:val="0"/>
          <w:color w:val="auto"/>
          <w:sz w:val="24"/>
          <w:szCs w:val="28"/>
          <w:u w:val="none"/>
        </w:rPr>
        <w:t>柜内安装</w:t>
      </w:r>
      <w:r>
        <w:rPr>
          <w:rFonts w:hint="default" w:ascii="Times New Roman" w:hAnsi="Times New Roman" w:eastAsia="方正仿宋_GBK" w:cs="Times New Roman"/>
          <w:smallCaps w:val="0"/>
          <w:sz w:val="24"/>
          <w:szCs w:val="28"/>
        </w:rPr>
        <w:t>，</w:t>
      </w:r>
      <w:r>
        <w:rPr>
          <w:rFonts w:hint="default" w:ascii="Times New Roman" w:hAnsi="Times New Roman" w:eastAsia="方正仿宋_GBK" w:cs="Times New Roman"/>
          <w:smallCaps w:val="0"/>
          <w:color w:val="auto"/>
          <w:sz w:val="24"/>
          <w:szCs w:val="24"/>
          <w:u w:val="none"/>
          <w:lang w:val="en-US" w:eastAsia="zh-CN"/>
        </w:rPr>
        <w:t>DI、DO及AI等测点输出满足项目需求。低压变频器均才用重载型。成品柜配套供应柜内一二次元器件。</w:t>
      </w:r>
    </w:p>
    <w:p>
      <w:pPr>
        <w:pStyle w:val="10"/>
        <w:pageBreakBefore w:val="0"/>
        <w:numPr>
          <w:ilvl w:val="0"/>
          <w:numId w:val="0"/>
        </w:numPr>
        <w:kinsoku/>
        <w:wordWrap/>
        <w:overflowPunct/>
        <w:topLinePunct w:val="0"/>
        <w:bidi w:val="0"/>
        <w:spacing w:line="460" w:lineRule="exact"/>
        <w:ind w:left="0" w:leftChars="0" w:firstLine="0" w:firstLineChars="0"/>
        <w:rPr>
          <w:rFonts w:hint="default" w:ascii="Times New Roman" w:hAnsi="Times New Roman" w:eastAsia="方正仿宋_GBK" w:cs="Times New Roman"/>
          <w:smallCaps w:val="0"/>
          <w:color w:val="auto"/>
          <w:sz w:val="24"/>
          <w:szCs w:val="24"/>
          <w:u w:val="none"/>
          <w:lang w:val="en-US" w:eastAsia="zh-CN"/>
        </w:rPr>
      </w:pPr>
      <w:r>
        <w:rPr>
          <w:rFonts w:hint="default" w:ascii="Times New Roman" w:hAnsi="Times New Roman" w:eastAsia="方正仿宋_GBK" w:cs="Times New Roman"/>
          <w:smallCaps w:val="0"/>
          <w:color w:val="auto"/>
          <w:kern w:val="2"/>
          <w:sz w:val="24"/>
          <w:szCs w:val="24"/>
          <w:lang w:val="en-US" w:eastAsia="zh-CN" w:bidi="ar-SA"/>
        </w:rPr>
        <w:t>（25）</w:t>
      </w:r>
      <w:r>
        <w:rPr>
          <w:rFonts w:hint="default" w:ascii="Times New Roman" w:hAnsi="Times New Roman" w:eastAsia="方正仿宋_GBK" w:cs="Times New Roman"/>
          <w:smallCaps w:val="0"/>
          <w:color w:val="auto"/>
          <w:sz w:val="24"/>
          <w:szCs w:val="28"/>
          <w:u w:val="none"/>
          <w:lang w:val="en-US" w:eastAsia="zh-CN"/>
        </w:rPr>
        <w:t>热继电器、中间继电器</w:t>
      </w:r>
      <w:r>
        <w:rPr>
          <w:rFonts w:hint="default" w:ascii="Times New Roman" w:hAnsi="Times New Roman" w:eastAsia="方正仿宋_GBK" w:cs="Times New Roman"/>
          <w:smallCaps w:val="0"/>
          <w:color w:val="auto"/>
          <w:sz w:val="24"/>
          <w:szCs w:val="24"/>
          <w:u w:val="none"/>
          <w:lang w:val="en-US" w:eastAsia="zh-CN"/>
        </w:rPr>
        <w:t>采用国产一线标准</w:t>
      </w:r>
      <w:r>
        <w:rPr>
          <w:rFonts w:hint="default" w:ascii="Times New Roman" w:hAnsi="Times New Roman" w:eastAsia="方正仿宋_GBK" w:cs="Times New Roman"/>
          <w:color w:val="auto"/>
          <w:sz w:val="24"/>
          <w:szCs w:val="24"/>
          <w:highlight w:val="none"/>
          <w:u w:val="none"/>
          <w:lang w:val="en-US" w:eastAsia="zh-CN"/>
        </w:rPr>
        <w:t>产品。</w:t>
      </w:r>
      <w:r>
        <w:rPr>
          <w:rFonts w:hint="default" w:ascii="Times New Roman" w:hAnsi="Times New Roman" w:eastAsia="方正仿宋_GBK" w:cs="Times New Roman"/>
          <w:smallCaps w:val="0"/>
          <w:color w:val="auto"/>
          <w:sz w:val="24"/>
          <w:szCs w:val="28"/>
          <w:u w:val="none"/>
        </w:rPr>
        <w:t>柜内安装</w:t>
      </w:r>
      <w:r>
        <w:rPr>
          <w:rFonts w:hint="default" w:ascii="Times New Roman" w:hAnsi="Times New Roman" w:eastAsia="方正仿宋_GBK" w:cs="Times New Roman"/>
          <w:smallCaps w:val="0"/>
          <w:color w:val="auto"/>
          <w:sz w:val="24"/>
          <w:szCs w:val="28"/>
          <w:u w:val="none"/>
          <w:lang w:eastAsia="zh-CN"/>
        </w:rPr>
        <w:t>，</w:t>
      </w:r>
      <w:r>
        <w:rPr>
          <w:rFonts w:hint="default" w:ascii="Times New Roman" w:hAnsi="Times New Roman" w:eastAsia="方正仿宋_GBK" w:cs="Times New Roman"/>
          <w:smallCaps w:val="0"/>
          <w:color w:val="auto"/>
          <w:sz w:val="24"/>
          <w:szCs w:val="24"/>
          <w:u w:val="none"/>
          <w:lang w:val="en-US" w:eastAsia="zh-CN"/>
        </w:rPr>
        <w:t>成品柜配套供应柜内一二次元器件。</w:t>
      </w:r>
    </w:p>
    <w:p>
      <w:pPr>
        <w:pageBreakBefore w:val="0"/>
        <w:numPr>
          <w:ilvl w:val="0"/>
          <w:numId w:val="0"/>
        </w:numPr>
        <w:kinsoku/>
        <w:wordWrap/>
        <w:overflowPunct/>
        <w:topLinePunct w:val="0"/>
        <w:bidi w:val="0"/>
        <w:spacing w:line="460" w:lineRule="exact"/>
        <w:rPr>
          <w:rFonts w:hint="default" w:ascii="Times New Roman" w:hAnsi="Times New Roman" w:eastAsia="方正仿宋_GBK" w:cs="Times New Roman"/>
          <w:smallCaps w:val="0"/>
          <w:color w:val="auto"/>
          <w:kern w:val="2"/>
          <w:sz w:val="24"/>
          <w:szCs w:val="24"/>
          <w:lang w:val="en-US" w:eastAsia="zh-CN" w:bidi="ar-SA"/>
        </w:rPr>
      </w:pPr>
      <w:r>
        <w:rPr>
          <w:rFonts w:hint="default" w:ascii="Times New Roman" w:hAnsi="Times New Roman" w:eastAsia="方正仿宋_GBK" w:cs="Times New Roman"/>
          <w:smallCaps w:val="0"/>
          <w:color w:val="auto"/>
          <w:kern w:val="2"/>
          <w:sz w:val="24"/>
          <w:szCs w:val="24"/>
          <w:lang w:val="en-US" w:eastAsia="zh-CN" w:bidi="ar-SA"/>
        </w:rPr>
        <w:t>（26）软启动装置采用矢量控制功能，软启动装置输出电流谐波畸变率不大于2%，软启动装置对电网电压波动有较强的适应能力，在-15%～+10%电网电压波动时保证软启动装置正常启动电机，软启动应设置以下保护：过电压保护、欠电压保护、过电流保护、缺相保护、短路保护、接地保护、过热保护、堵转保护及故障报警等。</w:t>
      </w:r>
    </w:p>
    <w:p>
      <w:pPr>
        <w:pageBreakBefore w:val="0"/>
        <w:numPr>
          <w:ilvl w:val="0"/>
          <w:numId w:val="0"/>
        </w:numPr>
        <w:kinsoku/>
        <w:wordWrap/>
        <w:overflowPunct/>
        <w:topLinePunct w:val="0"/>
        <w:bidi w:val="0"/>
        <w:spacing w:line="460" w:lineRule="exact"/>
        <w:ind w:firstLine="480" w:firstLineChars="200"/>
        <w:rPr>
          <w:rFonts w:hint="default" w:ascii="Times New Roman" w:hAnsi="Times New Roman" w:eastAsia="方正仿宋_GBK" w:cs="Times New Roman"/>
          <w:smallCaps w:val="0"/>
          <w:color w:val="auto"/>
          <w:kern w:val="2"/>
          <w:sz w:val="24"/>
          <w:szCs w:val="24"/>
          <w:highlight w:val="none"/>
          <w:lang w:val="en-US" w:eastAsia="zh-CN" w:bidi="ar-SA"/>
        </w:rPr>
      </w:pPr>
      <w:r>
        <w:rPr>
          <w:rFonts w:hint="default" w:ascii="Times New Roman" w:hAnsi="Times New Roman" w:eastAsia="方正仿宋_GBK" w:cs="Times New Roman"/>
          <w:smallCaps w:val="0"/>
          <w:color w:val="auto"/>
          <w:kern w:val="2"/>
          <w:sz w:val="24"/>
          <w:szCs w:val="24"/>
          <w:highlight w:val="none"/>
          <w:lang w:val="en-US" w:eastAsia="zh-CN" w:bidi="ar-SA"/>
        </w:rPr>
        <w:t>软启动装置的核心部件如功率单元及控制单元应采用进口ABB、施耐德、TMEIC产品。</w:t>
      </w:r>
    </w:p>
    <w:p>
      <w:pPr>
        <w:pageBreakBefore w:val="0"/>
        <w:numPr>
          <w:ilvl w:val="0"/>
          <w:numId w:val="0"/>
        </w:numPr>
        <w:kinsoku/>
        <w:wordWrap/>
        <w:overflowPunct/>
        <w:topLinePunct w:val="0"/>
        <w:bidi w:val="0"/>
        <w:spacing w:line="460" w:lineRule="exact"/>
        <w:rPr>
          <w:rFonts w:hint="eastAsia" w:ascii="Times New Roman" w:hAnsi="Times New Roman" w:eastAsia="方正仿宋_GBK" w:cs="Times New Roman"/>
          <w:smallCaps w:val="0"/>
          <w:color w:val="auto"/>
          <w:kern w:val="2"/>
          <w:sz w:val="24"/>
          <w:szCs w:val="24"/>
          <w:lang w:val="en-US" w:eastAsia="zh-CN" w:bidi="ar-SA"/>
        </w:rPr>
      </w:pPr>
      <w:r>
        <w:rPr>
          <w:rFonts w:hint="default" w:ascii="Times New Roman" w:hAnsi="Times New Roman" w:eastAsia="方正仿宋_GBK" w:cs="Times New Roman"/>
          <w:smallCaps w:val="0"/>
          <w:color w:val="auto"/>
          <w:kern w:val="2"/>
          <w:sz w:val="24"/>
          <w:szCs w:val="24"/>
          <w:lang w:val="en-US" w:eastAsia="zh-CN" w:bidi="ar-SA"/>
        </w:rPr>
        <w:t>（2</w:t>
      </w:r>
      <w:r>
        <w:rPr>
          <w:rFonts w:hint="eastAsia" w:ascii="Times New Roman" w:hAnsi="Times New Roman" w:eastAsia="方正仿宋_GBK" w:cs="Times New Roman"/>
          <w:smallCaps w:val="0"/>
          <w:color w:val="auto"/>
          <w:kern w:val="2"/>
          <w:sz w:val="24"/>
          <w:szCs w:val="24"/>
          <w:lang w:val="en-US" w:eastAsia="zh-CN" w:bidi="ar-SA"/>
        </w:rPr>
        <w:t>7</w:t>
      </w:r>
      <w:r>
        <w:rPr>
          <w:rFonts w:hint="default" w:ascii="Times New Roman" w:hAnsi="Times New Roman" w:eastAsia="方正仿宋_GBK" w:cs="Times New Roman"/>
          <w:smallCaps w:val="0"/>
          <w:color w:val="auto"/>
          <w:kern w:val="2"/>
          <w:sz w:val="24"/>
          <w:szCs w:val="24"/>
          <w:lang w:val="en-US" w:eastAsia="zh-CN" w:bidi="ar-SA"/>
        </w:rPr>
        <w:t>）</w:t>
      </w:r>
      <w:r>
        <w:rPr>
          <w:rFonts w:hint="eastAsia" w:ascii="Times New Roman" w:hAnsi="Times New Roman" w:eastAsia="方正仿宋_GBK" w:cs="Times New Roman"/>
          <w:smallCaps w:val="0"/>
          <w:color w:val="auto"/>
          <w:kern w:val="2"/>
          <w:sz w:val="24"/>
          <w:szCs w:val="24"/>
          <w:lang w:val="en-US" w:eastAsia="zh-CN" w:bidi="ar-SA"/>
        </w:rPr>
        <w:t>工作段馈线回路配置低压馈线相地短路监测保护装置</w:t>
      </w:r>
    </w:p>
    <w:p>
      <w:pPr>
        <w:pageBreakBefore w:val="0"/>
        <w:numPr>
          <w:ilvl w:val="0"/>
          <w:numId w:val="0"/>
        </w:numPr>
        <w:kinsoku/>
        <w:wordWrap/>
        <w:overflowPunct/>
        <w:topLinePunct w:val="0"/>
        <w:bidi w:val="0"/>
        <w:spacing w:line="460" w:lineRule="exact"/>
        <w:ind w:firstLine="480" w:firstLineChars="200"/>
        <w:rPr>
          <w:rFonts w:hint="eastAsia" w:ascii="Times New Roman" w:hAnsi="Times New Roman" w:eastAsia="方正仿宋_GBK" w:cs="Times New Roman"/>
          <w:smallCaps w:val="0"/>
          <w:color w:val="auto"/>
          <w:kern w:val="2"/>
          <w:sz w:val="24"/>
          <w:szCs w:val="24"/>
          <w:lang w:val="en-US" w:eastAsia="zh-CN" w:bidi="ar-SA"/>
        </w:rPr>
      </w:pPr>
      <w:r>
        <w:rPr>
          <w:rFonts w:hint="eastAsia" w:ascii="Times New Roman" w:hAnsi="Times New Roman" w:eastAsia="方正仿宋_GBK" w:cs="Times New Roman"/>
          <w:smallCaps w:val="0"/>
          <w:color w:val="auto"/>
          <w:kern w:val="2"/>
          <w:sz w:val="24"/>
          <w:szCs w:val="24"/>
          <w:lang w:val="en-US" w:eastAsia="zh-CN" w:bidi="ar-SA"/>
        </w:rPr>
        <w:t>每套相地短路监测保护装置由主机和各回路的零序电流互感器（装置配套）组成，可用于监测开关柜回路的单相接地故障情况。主机装设在低压柜的侧面板上，零序电流互感器装设在电缆室内。零序电流互感器接线方式为电源三相四线馈线穿</w:t>
      </w:r>
      <w:r>
        <w:rPr>
          <w:rFonts w:hint="default" w:ascii="Times New Roman" w:hAnsi="Times New Roman" w:eastAsia="方正仿宋_GBK" w:cs="Times New Roman"/>
          <w:smallCaps w:val="0"/>
          <w:color w:val="auto"/>
          <w:kern w:val="2"/>
          <w:sz w:val="24"/>
          <w:szCs w:val="24"/>
          <w:lang w:val="en-US" w:eastAsia="zh-CN" w:bidi="ar-SA"/>
        </w:rPr>
        <w:t>A</w:t>
      </w:r>
      <w:r>
        <w:rPr>
          <w:rFonts w:hint="eastAsia" w:ascii="Times New Roman" w:hAnsi="Times New Roman" w:eastAsia="方正仿宋_GBK" w:cs="Times New Roman"/>
          <w:smallCaps w:val="0"/>
          <w:color w:val="auto"/>
          <w:kern w:val="2"/>
          <w:sz w:val="24"/>
          <w:szCs w:val="24"/>
          <w:lang w:val="en-US" w:eastAsia="zh-CN" w:bidi="ar-SA"/>
        </w:rPr>
        <w:t>、</w:t>
      </w:r>
      <w:r>
        <w:rPr>
          <w:rFonts w:hint="default" w:ascii="Times New Roman" w:hAnsi="Times New Roman" w:eastAsia="方正仿宋_GBK" w:cs="Times New Roman"/>
          <w:smallCaps w:val="0"/>
          <w:color w:val="auto"/>
          <w:kern w:val="2"/>
          <w:sz w:val="24"/>
          <w:szCs w:val="24"/>
          <w:lang w:val="en-US" w:eastAsia="zh-CN" w:bidi="ar-SA"/>
        </w:rPr>
        <w:t>B</w:t>
      </w:r>
      <w:r>
        <w:rPr>
          <w:rFonts w:hint="eastAsia" w:ascii="Times New Roman" w:hAnsi="Times New Roman" w:eastAsia="方正仿宋_GBK" w:cs="Times New Roman"/>
          <w:smallCaps w:val="0"/>
          <w:color w:val="auto"/>
          <w:kern w:val="2"/>
          <w:sz w:val="24"/>
          <w:szCs w:val="24"/>
          <w:lang w:val="en-US" w:eastAsia="zh-CN" w:bidi="ar-SA"/>
        </w:rPr>
        <w:t>、</w:t>
      </w:r>
      <w:r>
        <w:rPr>
          <w:rFonts w:hint="default" w:ascii="Times New Roman" w:hAnsi="Times New Roman" w:eastAsia="方正仿宋_GBK" w:cs="Times New Roman"/>
          <w:smallCaps w:val="0"/>
          <w:color w:val="auto"/>
          <w:kern w:val="2"/>
          <w:sz w:val="24"/>
          <w:szCs w:val="24"/>
          <w:lang w:val="en-US" w:eastAsia="zh-CN" w:bidi="ar-SA"/>
        </w:rPr>
        <w:t>C</w:t>
      </w:r>
      <w:r>
        <w:rPr>
          <w:rFonts w:hint="eastAsia" w:ascii="Times New Roman" w:hAnsi="Times New Roman" w:eastAsia="方正仿宋_GBK" w:cs="Times New Roman"/>
          <w:smallCaps w:val="0"/>
          <w:color w:val="auto"/>
          <w:kern w:val="2"/>
          <w:sz w:val="24"/>
          <w:szCs w:val="24"/>
          <w:lang w:val="en-US" w:eastAsia="zh-CN" w:bidi="ar-SA"/>
        </w:rPr>
        <w:t>三线；电源单相馈线穿</w:t>
      </w:r>
      <w:r>
        <w:rPr>
          <w:rFonts w:hint="default" w:ascii="Times New Roman" w:hAnsi="Times New Roman" w:eastAsia="方正仿宋_GBK" w:cs="Times New Roman"/>
          <w:smallCaps w:val="0"/>
          <w:color w:val="auto"/>
          <w:kern w:val="2"/>
          <w:sz w:val="24"/>
          <w:szCs w:val="24"/>
          <w:lang w:val="en-US" w:eastAsia="zh-CN" w:bidi="ar-SA"/>
        </w:rPr>
        <w:t>A/B/C</w:t>
      </w:r>
      <w:r>
        <w:rPr>
          <w:rFonts w:hint="eastAsia" w:ascii="Times New Roman" w:hAnsi="Times New Roman" w:eastAsia="方正仿宋_GBK" w:cs="Times New Roman"/>
          <w:smallCaps w:val="0"/>
          <w:color w:val="auto"/>
          <w:kern w:val="2"/>
          <w:sz w:val="24"/>
          <w:szCs w:val="24"/>
          <w:lang w:val="en-US" w:eastAsia="zh-CN" w:bidi="ar-SA"/>
        </w:rPr>
        <w:t>、</w:t>
      </w:r>
      <w:r>
        <w:rPr>
          <w:rFonts w:hint="default" w:ascii="Times New Roman" w:hAnsi="Times New Roman" w:eastAsia="方正仿宋_GBK" w:cs="Times New Roman"/>
          <w:smallCaps w:val="0"/>
          <w:color w:val="auto"/>
          <w:kern w:val="2"/>
          <w:sz w:val="24"/>
          <w:szCs w:val="24"/>
          <w:lang w:val="en-US" w:eastAsia="zh-CN" w:bidi="ar-SA"/>
        </w:rPr>
        <w:t>N</w:t>
      </w:r>
      <w:r>
        <w:rPr>
          <w:rFonts w:hint="eastAsia" w:ascii="Times New Roman" w:hAnsi="Times New Roman" w:eastAsia="方正仿宋_GBK" w:cs="Times New Roman"/>
          <w:smallCaps w:val="0"/>
          <w:color w:val="auto"/>
          <w:kern w:val="2"/>
          <w:sz w:val="24"/>
          <w:szCs w:val="24"/>
          <w:lang w:val="en-US" w:eastAsia="zh-CN" w:bidi="ar-SA"/>
        </w:rPr>
        <w:t>。相地短路监测保护装置可通过每个回路的塑壳开关分励脱扣器实现跳闸功能。相地短路监测保护装置具有通讯功能。</w:t>
      </w:r>
    </w:p>
    <w:p>
      <w:pPr>
        <w:pageBreakBefore w:val="0"/>
        <w:numPr>
          <w:ilvl w:val="0"/>
          <w:numId w:val="0"/>
        </w:numPr>
        <w:kinsoku/>
        <w:wordWrap/>
        <w:overflowPunct/>
        <w:topLinePunct w:val="0"/>
        <w:bidi w:val="0"/>
        <w:spacing w:line="460" w:lineRule="exact"/>
        <w:ind w:firstLine="480" w:firstLineChars="200"/>
        <w:rPr>
          <w:rFonts w:hint="eastAsia" w:ascii="Times New Roman" w:hAnsi="Times New Roman" w:eastAsia="方正仿宋_GBK" w:cs="Times New Roman"/>
          <w:smallCaps w:val="0"/>
          <w:color w:val="auto"/>
          <w:kern w:val="2"/>
          <w:sz w:val="24"/>
          <w:szCs w:val="24"/>
          <w:lang w:val="en-US" w:eastAsia="zh-CN" w:bidi="ar-SA"/>
        </w:rPr>
      </w:pPr>
      <w:r>
        <w:rPr>
          <w:rFonts w:hint="eastAsia" w:ascii="Times New Roman" w:hAnsi="Times New Roman" w:eastAsia="方正仿宋_GBK" w:cs="Times New Roman"/>
          <w:smallCaps w:val="0"/>
          <w:color w:val="auto"/>
          <w:kern w:val="2"/>
          <w:sz w:val="24"/>
          <w:szCs w:val="24"/>
          <w:lang w:val="en-US" w:eastAsia="zh-CN" w:bidi="ar-SA"/>
        </w:rPr>
        <w:t>相地短路监测保护装置采集、跳闸成套的线缆由投标方提供。</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color w:val="auto"/>
          <w:sz w:val="24"/>
          <w:szCs w:val="24"/>
          <w:u w:val="none"/>
          <w:lang w:val="en-US" w:eastAsia="zh-CN"/>
        </w:rPr>
      </w:pPr>
      <w:r>
        <w:rPr>
          <w:rFonts w:hint="default" w:ascii="Times New Roman" w:hAnsi="Times New Roman" w:eastAsia="方正仿宋_GBK" w:cs="Times New Roman"/>
          <w:smallCaps w:val="0"/>
          <w:color w:val="auto"/>
          <w:sz w:val="24"/>
          <w:szCs w:val="24"/>
          <w:u w:val="none"/>
          <w:lang w:val="en-US" w:eastAsia="zh-CN"/>
        </w:rPr>
        <w:t>（2</w:t>
      </w:r>
      <w:r>
        <w:rPr>
          <w:rFonts w:hint="eastAsia" w:ascii="Times New Roman" w:hAnsi="Times New Roman" w:eastAsia="方正仿宋_GBK" w:cs="Times New Roman"/>
          <w:smallCaps w:val="0"/>
          <w:color w:val="auto"/>
          <w:sz w:val="24"/>
          <w:szCs w:val="24"/>
          <w:u w:val="none"/>
          <w:lang w:val="en-US" w:eastAsia="zh-CN"/>
        </w:rPr>
        <w:t>8</w:t>
      </w:r>
      <w:r>
        <w:rPr>
          <w:rFonts w:hint="default" w:ascii="Times New Roman" w:hAnsi="Times New Roman" w:eastAsia="方正仿宋_GBK" w:cs="Times New Roman"/>
          <w:smallCaps w:val="0"/>
          <w:color w:val="auto"/>
          <w:sz w:val="24"/>
          <w:szCs w:val="24"/>
          <w:u w:val="none"/>
          <w:lang w:val="en-US" w:eastAsia="zh-CN"/>
        </w:rPr>
        <w:t>）</w:t>
      </w:r>
      <w:r>
        <w:rPr>
          <w:rFonts w:hint="default" w:ascii="Times New Roman" w:hAnsi="Times New Roman" w:eastAsia="方正仿宋_GBK" w:cs="Times New Roman"/>
          <w:smallCaps w:val="0"/>
          <w:color w:val="auto"/>
          <w:sz w:val="24"/>
          <w:szCs w:val="24"/>
          <w:u w:val="none"/>
          <w:lang w:val="en-US" w:eastAsia="zh-CN"/>
        </w:rPr>
        <w:tab/>
      </w:r>
      <w:r>
        <w:rPr>
          <w:rFonts w:hint="default" w:ascii="Times New Roman" w:hAnsi="Times New Roman" w:eastAsia="方正仿宋_GBK" w:cs="Times New Roman"/>
          <w:smallCaps w:val="0"/>
          <w:color w:val="auto"/>
          <w:sz w:val="24"/>
          <w:szCs w:val="24"/>
          <w:u w:val="none"/>
          <w:lang w:val="en-US" w:eastAsia="zh-CN"/>
        </w:rPr>
        <w:t>开关柜排列见订货图电气室布置图。</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color w:val="auto"/>
          <w:sz w:val="24"/>
          <w:szCs w:val="24"/>
          <w:u w:val="none"/>
          <w:lang w:val="en-US" w:eastAsia="zh-CN"/>
        </w:rPr>
      </w:pPr>
      <w:r>
        <w:rPr>
          <w:rFonts w:hint="default" w:ascii="Times New Roman" w:hAnsi="Times New Roman" w:eastAsia="方正仿宋_GBK" w:cs="Times New Roman"/>
          <w:smallCaps w:val="0"/>
          <w:color w:val="auto"/>
          <w:sz w:val="24"/>
          <w:szCs w:val="24"/>
          <w:u w:val="none"/>
          <w:lang w:val="en-US" w:eastAsia="zh-CN"/>
        </w:rPr>
        <w:t>（2</w:t>
      </w:r>
      <w:r>
        <w:rPr>
          <w:rFonts w:hint="eastAsia" w:ascii="Times New Roman" w:hAnsi="Times New Roman" w:eastAsia="方正仿宋_GBK" w:cs="Times New Roman"/>
          <w:smallCaps w:val="0"/>
          <w:color w:val="auto"/>
          <w:sz w:val="24"/>
          <w:szCs w:val="24"/>
          <w:u w:val="none"/>
          <w:lang w:val="en-US" w:eastAsia="zh-CN"/>
        </w:rPr>
        <w:t>9</w:t>
      </w:r>
      <w:r>
        <w:rPr>
          <w:rFonts w:hint="default" w:ascii="Times New Roman" w:hAnsi="Times New Roman" w:eastAsia="方正仿宋_GBK" w:cs="Times New Roman"/>
          <w:smallCaps w:val="0"/>
          <w:color w:val="auto"/>
          <w:sz w:val="24"/>
          <w:szCs w:val="24"/>
          <w:u w:val="none"/>
          <w:lang w:val="en-US" w:eastAsia="zh-CN"/>
        </w:rPr>
        <w:t>）</w:t>
      </w:r>
      <w:r>
        <w:rPr>
          <w:rFonts w:hint="default" w:ascii="Times New Roman" w:hAnsi="Times New Roman" w:eastAsia="方正仿宋_GBK" w:cs="Times New Roman"/>
          <w:smallCaps w:val="0"/>
          <w:color w:val="auto"/>
          <w:sz w:val="24"/>
          <w:szCs w:val="24"/>
          <w:u w:val="none"/>
          <w:lang w:val="en-US" w:eastAsia="zh-CN"/>
        </w:rPr>
        <w:tab/>
      </w:r>
      <w:r>
        <w:rPr>
          <w:rFonts w:hint="default" w:ascii="Times New Roman" w:hAnsi="Times New Roman" w:eastAsia="方正仿宋_GBK" w:cs="Times New Roman"/>
          <w:smallCaps w:val="0"/>
          <w:color w:val="auto"/>
          <w:sz w:val="24"/>
          <w:szCs w:val="24"/>
          <w:u w:val="none"/>
          <w:lang w:val="en-US" w:eastAsia="zh-CN"/>
        </w:rPr>
        <w:t>柜内备用回路应按设计要求配置。</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color w:val="auto"/>
          <w:sz w:val="24"/>
          <w:szCs w:val="28"/>
          <w:highlight w:val="none"/>
          <w:shd w:val="clear" w:color="auto" w:fill="auto"/>
        </w:rPr>
      </w:pPr>
      <w:r>
        <w:rPr>
          <w:rFonts w:hint="default" w:ascii="Times New Roman" w:hAnsi="Times New Roman" w:eastAsia="方正仿宋_GBK" w:cs="Times New Roman"/>
          <w:smallCaps w:val="0"/>
          <w:color w:val="auto"/>
          <w:sz w:val="24"/>
          <w:szCs w:val="28"/>
          <w:highlight w:val="none"/>
          <w:shd w:val="clear" w:color="auto" w:fill="auto"/>
        </w:rPr>
        <w:t>由于现场负载功率有可能与图纸发生冲突，其断路器、热继电器、接触器有可能在生产过程或现场调换规格，投标方应无偿更换并提供免费服务。</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b/>
          <w:bCs/>
          <w:smallCaps w:val="0"/>
          <w:sz w:val="24"/>
          <w:szCs w:val="28"/>
        </w:rPr>
      </w:pPr>
      <w:r>
        <w:rPr>
          <w:rFonts w:hint="default" w:ascii="Times New Roman" w:hAnsi="Times New Roman" w:eastAsia="方正仿宋_GBK" w:cs="Times New Roman"/>
          <w:b/>
          <w:bCs/>
          <w:smallCaps w:val="0"/>
          <w:sz w:val="24"/>
          <w:szCs w:val="28"/>
        </w:rPr>
        <w:t>5标志与包装</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5.1  铭牌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开关柜应有耐久、清晰的铭牌,开关柜的铭牌应包括以下内容：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工厂名称或商标；</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开关柜型号；</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 制造日期；</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 出厂编号。</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以下内容在开关柜的铭牌或有关资料中给出：</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国家标准；</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额定电压；</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 额定电流；</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 辅助回路额定电压及断路器跳、合闸电流；</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 使用条件；</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f. 每个电路的额定电流；</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 短路强度；</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h. 防护等级；</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i. 防止触电的措施；</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j. 工作范围；</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k. 接地类型及安装尺寸；</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l. 重量。</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5.2  标志</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在装置内，应尽可能在靠近电器元件的上方标志该元件的文字符号；各电路的导线端头也应标志相应文字符号。所有文字符号应与接线图上的文字符号一致。</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5.3  包装</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装置的包装应符合JB3084-82《电力传动控制站的产品包装与运输规程》的规定。随同开关柜出厂的技术文件有：</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1)装箱文件清单；</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2)产品合格证明书；</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3)产品安装、使用说明书；</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4)施工接线图、二次原理图、一次系统图及设备明细表。</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5)开关柜后门贴本柜线路图（覆膜）。</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b/>
          <w:bCs/>
          <w:smallCaps w:val="0"/>
          <w:sz w:val="24"/>
          <w:szCs w:val="28"/>
          <w:lang w:val="en-US" w:eastAsia="zh-CN"/>
        </w:rPr>
      </w:pPr>
      <w:r>
        <w:rPr>
          <w:rFonts w:hint="default" w:ascii="Times New Roman" w:hAnsi="Times New Roman" w:eastAsia="方正仿宋_GBK" w:cs="Times New Roman"/>
          <w:b/>
          <w:bCs/>
          <w:smallCaps w:val="0"/>
          <w:sz w:val="24"/>
          <w:szCs w:val="28"/>
        </w:rPr>
        <w:t>6</w:t>
      </w:r>
      <w:r>
        <w:rPr>
          <w:rFonts w:hint="default" w:ascii="Times New Roman" w:hAnsi="Times New Roman" w:eastAsia="方正仿宋_GBK" w:cs="Times New Roman"/>
          <w:b/>
          <w:bCs/>
          <w:smallCaps w:val="0"/>
          <w:sz w:val="24"/>
          <w:szCs w:val="28"/>
          <w:lang w:val="en-US" w:eastAsia="zh-CN"/>
        </w:rPr>
        <w:t xml:space="preserve"> </w:t>
      </w:r>
      <w:r>
        <w:rPr>
          <w:rFonts w:hint="default" w:ascii="Times New Roman" w:hAnsi="Times New Roman" w:eastAsia="方正仿宋_GBK" w:cs="Times New Roman"/>
          <w:b/>
          <w:bCs/>
          <w:smallCaps w:val="0"/>
          <w:sz w:val="24"/>
          <w:szCs w:val="28"/>
        </w:rPr>
        <w:t>供货</w:t>
      </w:r>
      <w:r>
        <w:rPr>
          <w:rFonts w:hint="default" w:ascii="Times New Roman" w:hAnsi="Times New Roman" w:eastAsia="方正仿宋_GBK" w:cs="Times New Roman"/>
          <w:b/>
          <w:bCs/>
          <w:smallCaps w:val="0"/>
          <w:sz w:val="24"/>
          <w:szCs w:val="28"/>
          <w:lang w:val="en-US" w:eastAsia="zh-CN"/>
        </w:rPr>
        <w:t>范围</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6.1  供货范围</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rPr>
        <w:t>投标方应成套供给以下设备，按设计图纸组成统一的配电装置：本工程低压系统，包括</w:t>
      </w:r>
      <w:r>
        <w:rPr>
          <w:rFonts w:hint="default" w:ascii="Times New Roman" w:hAnsi="Times New Roman" w:eastAsia="方正仿宋_GBK" w:cs="Times New Roman"/>
          <w:smallCaps w:val="0"/>
          <w:sz w:val="24"/>
          <w:szCs w:val="28"/>
          <w:lang w:val="en-US" w:eastAsia="zh-CN"/>
        </w:rPr>
        <w:t>19</w:t>
      </w:r>
      <w:r>
        <w:rPr>
          <w:rFonts w:hint="default" w:ascii="Times New Roman" w:hAnsi="Times New Roman" w:eastAsia="方正仿宋_GBK" w:cs="Times New Roman"/>
          <w:smallCaps w:val="0"/>
          <w:sz w:val="24"/>
          <w:szCs w:val="28"/>
        </w:rPr>
        <w:t>面</w:t>
      </w:r>
      <w:r>
        <w:rPr>
          <w:rFonts w:hint="default" w:ascii="Times New Roman" w:hAnsi="Times New Roman" w:eastAsia="方正仿宋_GBK" w:cs="Times New Roman"/>
          <w:smallCaps w:val="0"/>
          <w:sz w:val="24"/>
          <w:szCs w:val="28"/>
          <w:lang w:val="en-US" w:eastAsia="zh-CN"/>
        </w:rPr>
        <w:t>MNS抽屉式</w:t>
      </w:r>
      <w:r>
        <w:rPr>
          <w:rFonts w:hint="default" w:ascii="Times New Roman" w:hAnsi="Times New Roman" w:eastAsia="方正仿宋_GBK" w:cs="Times New Roman"/>
          <w:smallCaps w:val="0"/>
          <w:sz w:val="24"/>
          <w:szCs w:val="28"/>
        </w:rPr>
        <w:t>开关柜；</w:t>
      </w:r>
      <w:r>
        <w:rPr>
          <w:rFonts w:hint="default" w:ascii="Times New Roman" w:hAnsi="Times New Roman" w:eastAsia="方正仿宋_GBK" w:cs="Times New Roman"/>
          <w:smallCaps w:val="0"/>
          <w:sz w:val="24"/>
          <w:szCs w:val="28"/>
          <w:lang w:val="en-US" w:eastAsia="zh-CN"/>
        </w:rPr>
        <w:t>1面DCS电源柜（配备77个三极开关，2个双极开关）；1面低压变频柜（含变频器）；1面低压软启柜（含软启动器）；3</w:t>
      </w:r>
      <w:r>
        <w:rPr>
          <w:rFonts w:hint="default" w:ascii="Times New Roman" w:hAnsi="Times New Roman" w:eastAsia="方正仿宋_GBK" w:cs="Times New Roman"/>
          <w:smallCaps w:val="0"/>
          <w:sz w:val="24"/>
          <w:szCs w:val="28"/>
        </w:rPr>
        <w:t>面低压动力箱</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MNS抽屉式</w:t>
      </w:r>
      <w:r>
        <w:rPr>
          <w:rFonts w:hint="default" w:ascii="Times New Roman" w:hAnsi="Times New Roman" w:eastAsia="方正仿宋_GBK" w:cs="Times New Roman"/>
          <w:smallCaps w:val="0"/>
          <w:sz w:val="24"/>
          <w:szCs w:val="28"/>
        </w:rPr>
        <w:t>开关柜</w:t>
      </w:r>
      <w:r>
        <w:rPr>
          <w:rFonts w:hint="default" w:ascii="Times New Roman" w:hAnsi="Times New Roman" w:eastAsia="方正仿宋_GBK" w:cs="Times New Roman"/>
          <w:smallCaps w:val="0"/>
          <w:sz w:val="24"/>
          <w:szCs w:val="28"/>
          <w:lang w:val="en-US" w:eastAsia="zh-CN"/>
        </w:rPr>
        <w:t>中包含3台</w:t>
      </w:r>
      <w:r>
        <w:rPr>
          <w:rFonts w:hint="default" w:ascii="Times New Roman" w:hAnsi="Times New Roman" w:eastAsia="方正仿宋_GBK" w:cs="Times New Roman"/>
          <w:smallCaps w:val="0"/>
          <w:sz w:val="24"/>
          <w:szCs w:val="28"/>
        </w:rPr>
        <w:t>检修箱</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3</w:t>
      </w:r>
      <w:r>
        <w:rPr>
          <w:rFonts w:hint="default" w:ascii="Times New Roman" w:hAnsi="Times New Roman" w:eastAsia="方正仿宋_GBK" w:cs="Times New Roman"/>
          <w:smallCaps w:val="0"/>
          <w:color w:val="auto"/>
          <w:sz w:val="24"/>
          <w:szCs w:val="28"/>
        </w:rPr>
        <w:t>个</w:t>
      </w:r>
      <w:r>
        <w:rPr>
          <w:rFonts w:hint="default" w:ascii="Times New Roman" w:hAnsi="Times New Roman" w:eastAsia="方正仿宋_GBK" w:cs="Times New Roman"/>
          <w:smallCaps w:val="0"/>
          <w:color w:val="auto"/>
          <w:sz w:val="24"/>
          <w:szCs w:val="28"/>
          <w:lang w:eastAsia="zh-CN"/>
        </w:rPr>
        <w:t>挂壁式</w:t>
      </w:r>
      <w:r>
        <w:rPr>
          <w:rFonts w:hint="default" w:ascii="Times New Roman" w:hAnsi="Times New Roman" w:eastAsia="方正仿宋_GBK" w:cs="Times New Roman"/>
          <w:smallCaps w:val="0"/>
          <w:color w:val="auto"/>
          <w:sz w:val="24"/>
          <w:szCs w:val="28"/>
          <w:lang w:val="en-US" w:eastAsia="zh-CN"/>
        </w:rPr>
        <w:t>空气</w:t>
      </w:r>
      <w:r>
        <w:rPr>
          <w:rFonts w:hint="default" w:ascii="Times New Roman" w:hAnsi="Times New Roman" w:eastAsia="方正仿宋_GBK" w:cs="Times New Roman"/>
          <w:smallCaps w:val="0"/>
          <w:color w:val="auto"/>
          <w:sz w:val="24"/>
          <w:szCs w:val="28"/>
          <w:lang w:eastAsia="zh-CN"/>
        </w:rPr>
        <w:t>开关盒</w:t>
      </w:r>
      <w:r>
        <w:rPr>
          <w:rFonts w:hint="default" w:ascii="Times New Roman" w:hAnsi="Times New Roman" w:eastAsia="方正仿宋_GBK" w:cs="Times New Roman"/>
          <w:b w:val="0"/>
          <w:bCs w:val="0"/>
          <w:smallCaps w:val="0"/>
          <w:color w:val="auto"/>
          <w:sz w:val="24"/>
          <w:szCs w:val="28"/>
          <w:lang w:eastAsia="zh-CN"/>
        </w:rPr>
        <w:t>（</w:t>
      </w:r>
      <w:r>
        <w:rPr>
          <w:rFonts w:hint="default" w:ascii="Times New Roman" w:hAnsi="Times New Roman" w:eastAsia="方正仿宋_GBK" w:cs="Times New Roman"/>
          <w:b w:val="0"/>
          <w:bCs w:val="0"/>
          <w:sz w:val="24"/>
          <w:szCs w:val="24"/>
          <w:highlight w:val="none"/>
          <w:lang w:val="en-US" w:eastAsia="zh-CN"/>
        </w:rPr>
        <w:t>此开关为厂内电动葫芦、行车电源隔离用</w:t>
      </w:r>
      <w:r>
        <w:rPr>
          <w:rFonts w:hint="default" w:ascii="Times New Roman" w:hAnsi="Times New Roman" w:eastAsia="方正仿宋_GBK" w:cs="Times New Roman"/>
          <w:smallCaps w:val="0"/>
          <w:color w:val="auto"/>
          <w:sz w:val="24"/>
          <w:szCs w:val="28"/>
          <w:highlight w:val="none"/>
          <w:lang w:eastAsia="zh-CN"/>
        </w:rPr>
        <w:t>）</w:t>
      </w:r>
      <w:r>
        <w:rPr>
          <w:rFonts w:hint="default" w:ascii="Times New Roman" w:hAnsi="Times New Roman" w:eastAsia="方正仿宋_GBK" w:cs="Times New Roman"/>
          <w:smallCaps w:val="0"/>
          <w:color w:val="auto"/>
          <w:sz w:val="24"/>
          <w:szCs w:val="28"/>
        </w:rPr>
        <w:t>；</w:t>
      </w:r>
      <w:r>
        <w:rPr>
          <w:rFonts w:hint="default" w:ascii="Times New Roman" w:hAnsi="Times New Roman" w:eastAsia="方正仿宋_GBK" w:cs="Times New Roman"/>
          <w:smallCaps w:val="0"/>
          <w:sz w:val="24"/>
          <w:szCs w:val="28"/>
          <w:lang w:val="en-US" w:eastAsia="zh-CN"/>
        </w:rPr>
        <w:t>21</w:t>
      </w:r>
      <w:r>
        <w:rPr>
          <w:rFonts w:hint="default" w:ascii="Times New Roman" w:hAnsi="Times New Roman" w:eastAsia="方正仿宋_GBK" w:cs="Times New Roman"/>
          <w:smallCaps w:val="0"/>
          <w:sz w:val="24"/>
          <w:szCs w:val="28"/>
        </w:rPr>
        <w:t>个全封闭就地</w:t>
      </w:r>
      <w:r>
        <w:rPr>
          <w:rFonts w:hint="default" w:ascii="Times New Roman" w:hAnsi="Times New Roman" w:eastAsia="方正仿宋_GBK" w:cs="Times New Roman"/>
          <w:smallCaps w:val="0"/>
          <w:sz w:val="24"/>
          <w:szCs w:val="28"/>
          <w:lang w:val="en-US" w:eastAsia="zh-CN"/>
        </w:rPr>
        <w:t>急</w:t>
      </w:r>
      <w:r>
        <w:rPr>
          <w:rFonts w:hint="default" w:ascii="Times New Roman" w:hAnsi="Times New Roman" w:eastAsia="方正仿宋_GBK" w:cs="Times New Roman"/>
          <w:smallCaps w:val="0"/>
          <w:sz w:val="24"/>
          <w:szCs w:val="28"/>
        </w:rPr>
        <w:t>停按钮盒</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2段共箱式低压母线桥</w:t>
      </w:r>
      <w:r>
        <w:rPr>
          <w:rFonts w:hint="default" w:ascii="Times New Roman" w:hAnsi="Times New Roman" w:eastAsia="方正仿宋_GBK" w:cs="Times New Roman"/>
          <w:smallCaps w:val="0"/>
          <w:sz w:val="24"/>
          <w:szCs w:val="28"/>
        </w:rPr>
        <w:t>详见一次系统图。</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val="en-US" w:eastAsia="zh-CN"/>
        </w:rPr>
        <w:t>MNS</w:t>
      </w:r>
      <w:r>
        <w:rPr>
          <w:rFonts w:hint="default" w:ascii="Times New Roman" w:hAnsi="Times New Roman" w:eastAsia="方正仿宋_GBK" w:cs="Times New Roman"/>
          <w:smallCaps w:val="0"/>
          <w:sz w:val="24"/>
          <w:szCs w:val="28"/>
        </w:rPr>
        <w:t>抽屉式开关柜</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19</w:t>
      </w:r>
      <w:r>
        <w:rPr>
          <w:rFonts w:hint="default" w:ascii="Times New Roman" w:hAnsi="Times New Roman" w:eastAsia="方正仿宋_GBK" w:cs="Times New Roman"/>
          <w:smallCaps w:val="0"/>
          <w:sz w:val="24"/>
          <w:szCs w:val="28"/>
        </w:rPr>
        <w:t>面</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val="en-US" w:eastAsia="zh-CN"/>
        </w:rPr>
        <w:t>低压软启柜（含软启动器）：1面</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val="en-US" w:eastAsia="zh-CN"/>
        </w:rPr>
      </w:pPr>
      <w:r>
        <w:rPr>
          <w:rFonts w:hint="default" w:ascii="Times New Roman" w:hAnsi="Times New Roman" w:eastAsia="方正仿宋_GBK" w:cs="Times New Roman"/>
          <w:smallCaps w:val="0"/>
          <w:sz w:val="24"/>
          <w:szCs w:val="28"/>
          <w:lang w:val="en-US" w:eastAsia="zh-CN"/>
        </w:rPr>
        <w:t>低压变频器柜：1面</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eastAsia="zh-CN"/>
        </w:rPr>
      </w:pPr>
      <w:r>
        <w:rPr>
          <w:rFonts w:hint="default" w:ascii="Times New Roman" w:hAnsi="Times New Roman" w:eastAsia="方正仿宋_GBK" w:cs="Times New Roman"/>
          <w:b w:val="0"/>
          <w:bCs w:val="0"/>
          <w:smallCaps w:val="0"/>
          <w:sz w:val="24"/>
          <w:szCs w:val="28"/>
        </w:rPr>
        <w:t>低</w:t>
      </w:r>
      <w:r>
        <w:rPr>
          <w:rFonts w:hint="default" w:ascii="Times New Roman" w:hAnsi="Times New Roman" w:eastAsia="方正仿宋_GBK" w:cs="Times New Roman"/>
          <w:smallCaps w:val="0"/>
          <w:sz w:val="24"/>
          <w:szCs w:val="28"/>
        </w:rPr>
        <w:t>压动力箱</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3</w:t>
      </w:r>
      <w:r>
        <w:rPr>
          <w:rFonts w:hint="default" w:ascii="Times New Roman" w:hAnsi="Times New Roman" w:eastAsia="方正仿宋_GBK" w:cs="Times New Roman"/>
          <w:smallCaps w:val="0"/>
          <w:sz w:val="24"/>
          <w:szCs w:val="28"/>
        </w:rPr>
        <w:t>面</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val="en-US" w:eastAsia="zh-CN"/>
        </w:rPr>
        <w:t>DCS电源柜：1面（配备77个三极开关，2个双极开关）</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highlight w:val="none"/>
          <w:lang w:val="en-US" w:eastAsia="zh-CN"/>
        </w:rPr>
      </w:pPr>
      <w:r>
        <w:rPr>
          <w:rFonts w:hint="default" w:ascii="Times New Roman" w:hAnsi="Times New Roman" w:eastAsia="方正仿宋_GBK" w:cs="Times New Roman"/>
          <w:smallCaps w:val="0"/>
          <w:sz w:val="24"/>
          <w:szCs w:val="28"/>
          <w:highlight w:val="none"/>
          <w:lang w:val="en-US" w:eastAsia="zh-CN"/>
        </w:rPr>
        <w:t>检修箱：7面</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val="en-US" w:eastAsia="zh-CN"/>
        </w:rPr>
      </w:pPr>
      <w:r>
        <w:rPr>
          <w:rFonts w:hint="default" w:ascii="Times New Roman" w:hAnsi="Times New Roman" w:eastAsia="方正仿宋_GBK" w:cs="Times New Roman"/>
          <w:smallCaps w:val="0"/>
          <w:sz w:val="24"/>
          <w:szCs w:val="28"/>
          <w:lang w:val="en-US" w:eastAsia="zh-CN"/>
        </w:rPr>
        <w:t>挂壁式隔离开关盒：3个</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val="en-US" w:eastAsia="zh-CN"/>
        </w:rPr>
      </w:pPr>
      <w:r>
        <w:rPr>
          <w:rFonts w:hint="default" w:ascii="Times New Roman" w:hAnsi="Times New Roman" w:eastAsia="方正仿宋_GBK" w:cs="Times New Roman"/>
          <w:smallCaps w:val="0"/>
          <w:sz w:val="24"/>
          <w:szCs w:val="28"/>
          <w:lang w:val="en-US" w:eastAsia="zh-CN"/>
        </w:rPr>
        <w:t>全封闭就地急停按钮盒：21个</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val="en-US"/>
        </w:rPr>
      </w:pPr>
      <w:r>
        <w:rPr>
          <w:rFonts w:hint="default" w:ascii="Times New Roman" w:hAnsi="Times New Roman" w:eastAsia="方正仿宋_GBK" w:cs="Times New Roman"/>
          <w:smallCaps w:val="0"/>
          <w:sz w:val="24"/>
          <w:szCs w:val="28"/>
          <w:lang w:val="en-US" w:eastAsia="zh-CN"/>
        </w:rPr>
        <w:t>共箱式母线桥</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2段（4.5米、5.5米）</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各柜/箱/盒中主母线成套供货，同时包括各柜/箱/盒中所有一、二次元件。</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投标方负责变压器与</w:t>
      </w:r>
      <w:r>
        <w:rPr>
          <w:rFonts w:hint="default" w:ascii="Times New Roman" w:hAnsi="Times New Roman" w:eastAsia="方正仿宋_GBK" w:cs="Times New Roman"/>
          <w:smallCaps w:val="0"/>
          <w:sz w:val="24"/>
          <w:szCs w:val="28"/>
          <w:lang w:val="en-US" w:eastAsia="zh-CN"/>
        </w:rPr>
        <w:t>低压</w:t>
      </w:r>
      <w:r>
        <w:rPr>
          <w:rFonts w:hint="default" w:ascii="Times New Roman" w:hAnsi="Times New Roman" w:eastAsia="方正仿宋_GBK" w:cs="Times New Roman"/>
          <w:smallCaps w:val="0"/>
          <w:sz w:val="24"/>
          <w:szCs w:val="28"/>
        </w:rPr>
        <w:t>开关柜连接所需母排成套供货，制作安装。</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投标方负责主母线、母线桥连接所用螺栓等成套供货、制作安装。</w:t>
      </w:r>
    </w:p>
    <w:p>
      <w:pPr>
        <w:pStyle w:val="10"/>
        <w:ind w:left="0" w:leftChars="0" w:firstLine="0" w:firstLineChars="0"/>
        <w:rPr>
          <w:rFonts w:hint="eastAsia" w:ascii="Times New Roman" w:hAnsi="Times New Roman" w:eastAsia="方正仿宋_GBK" w:cs="Times New Roman"/>
          <w:smallCaps w:val="0"/>
          <w:sz w:val="24"/>
          <w:szCs w:val="28"/>
          <w:lang w:val="en-US" w:eastAsia="zh-CN"/>
        </w:rPr>
      </w:pPr>
      <w:r>
        <w:rPr>
          <w:rFonts w:hint="eastAsia" w:ascii="Times New Roman" w:hAnsi="Times New Roman" w:eastAsia="方正仿宋_GBK" w:cs="Times New Roman"/>
          <w:smallCaps w:val="0"/>
          <w:sz w:val="24"/>
          <w:szCs w:val="28"/>
          <w:lang w:val="en-US" w:eastAsia="zh-CN"/>
        </w:rPr>
        <w:t>6.2 品牌表</w:t>
      </w:r>
    </w:p>
    <w:tbl>
      <w:tblPr>
        <w:tblStyle w:val="11"/>
        <w:tblW w:w="612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60"/>
        <w:gridCol w:w="1440"/>
        <w:gridCol w:w="3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44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设备名</w:t>
            </w:r>
          </w:p>
        </w:tc>
        <w:tc>
          <w:tcPr>
            <w:tcW w:w="3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产地及产商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框架断路器</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贵州泰永长征技术股份有限公司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罗格朗低压电器（无锡）有限公司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9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海格电气（惠州）有限公司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北京北元电器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塑壳断路器</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贵州泰永长征技术股份有限公司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罗格朗低压电器（无锡）有限公司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9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Style w:val="16"/>
                <w:lang w:val="en-US" w:eastAsia="zh-CN" w:bidi="ar"/>
              </w:rPr>
              <w:t>海格电气（惠州）有限公司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北京北元电器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低压变频器</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ABB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施耐德电器（中国）有限公司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4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软启动核心部件</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ABB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施耐德电器（中国）有限公司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60"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TMEIC</w:t>
            </w:r>
          </w:p>
        </w:tc>
      </w:tr>
    </w:tbl>
    <w:p>
      <w:pPr>
        <w:rPr>
          <w:rFonts w:hint="default"/>
          <w:lang w:val="en-US" w:eastAsia="zh-CN"/>
        </w:rPr>
      </w:pP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6.</w:t>
      </w:r>
      <w:r>
        <w:rPr>
          <w:rFonts w:hint="eastAsia" w:ascii="Times New Roman" w:hAnsi="Times New Roman" w:eastAsia="方正仿宋_GBK" w:cs="Times New Roman"/>
          <w:smallCaps w:val="0"/>
          <w:sz w:val="24"/>
          <w:szCs w:val="28"/>
          <w:lang w:val="en-US" w:eastAsia="zh-CN"/>
        </w:rPr>
        <w:t>3</w:t>
      </w:r>
      <w:r>
        <w:rPr>
          <w:rFonts w:hint="default" w:ascii="Times New Roman" w:hAnsi="Times New Roman" w:eastAsia="方正仿宋_GBK" w:cs="Times New Roman"/>
          <w:smallCaps w:val="0"/>
          <w:sz w:val="24"/>
          <w:szCs w:val="28"/>
        </w:rPr>
        <w:t xml:space="preserve">  备品备件和专用工具</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随机备品备件一览表</w:t>
      </w:r>
    </w:p>
    <w:tbl>
      <w:tblPr>
        <w:tblStyle w:val="1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2494"/>
        <w:gridCol w:w="1760"/>
        <w:gridCol w:w="821"/>
        <w:gridCol w:w="799"/>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序号</w:t>
            </w:r>
          </w:p>
        </w:tc>
        <w:tc>
          <w:tcPr>
            <w:tcW w:w="2494"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名称</w:t>
            </w:r>
          </w:p>
        </w:tc>
        <w:tc>
          <w:tcPr>
            <w:tcW w:w="176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型号</w:t>
            </w:r>
          </w:p>
        </w:tc>
        <w:tc>
          <w:tcPr>
            <w:tcW w:w="821"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单位</w:t>
            </w:r>
          </w:p>
        </w:tc>
        <w:tc>
          <w:tcPr>
            <w:tcW w:w="799"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数量</w:t>
            </w:r>
          </w:p>
        </w:tc>
        <w:tc>
          <w:tcPr>
            <w:tcW w:w="1754"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w:t>
            </w:r>
          </w:p>
        </w:tc>
        <w:tc>
          <w:tcPr>
            <w:tcW w:w="249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低压柜配套多功能表</w:t>
            </w:r>
          </w:p>
        </w:tc>
        <w:tc>
          <w:tcPr>
            <w:tcW w:w="17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821"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块</w:t>
            </w:r>
          </w:p>
        </w:tc>
        <w:tc>
          <w:tcPr>
            <w:tcW w:w="799"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eastAsia="zh-CN"/>
              </w:rPr>
            </w:pPr>
            <w:r>
              <w:rPr>
                <w:rFonts w:hint="default" w:ascii="Times New Roman" w:hAnsi="Times New Roman" w:eastAsia="方正仿宋_GBK" w:cs="Times New Roman"/>
                <w:smallCaps w:val="0"/>
                <w:sz w:val="24"/>
                <w:szCs w:val="28"/>
                <w:lang w:val="en-US" w:eastAsia="zh-CN"/>
              </w:rPr>
              <w:t>1</w:t>
            </w:r>
          </w:p>
        </w:tc>
        <w:tc>
          <w:tcPr>
            <w:tcW w:w="1754"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w:t>
            </w:r>
          </w:p>
        </w:tc>
        <w:tc>
          <w:tcPr>
            <w:tcW w:w="249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低压柜配套电流表</w:t>
            </w:r>
          </w:p>
        </w:tc>
        <w:tc>
          <w:tcPr>
            <w:tcW w:w="17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821"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块</w:t>
            </w:r>
          </w:p>
        </w:tc>
        <w:tc>
          <w:tcPr>
            <w:tcW w:w="799"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eastAsia="zh-CN"/>
              </w:rPr>
            </w:pPr>
            <w:r>
              <w:rPr>
                <w:rFonts w:hint="default" w:ascii="Times New Roman" w:hAnsi="Times New Roman" w:eastAsia="方正仿宋_GBK" w:cs="Times New Roman"/>
                <w:smallCaps w:val="0"/>
                <w:sz w:val="24"/>
                <w:szCs w:val="28"/>
                <w:lang w:val="en-US" w:eastAsia="zh-CN"/>
              </w:rPr>
              <w:t>1</w:t>
            </w:r>
          </w:p>
        </w:tc>
        <w:tc>
          <w:tcPr>
            <w:tcW w:w="1754"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w:t>
            </w:r>
          </w:p>
        </w:tc>
        <w:tc>
          <w:tcPr>
            <w:tcW w:w="249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框架断路器分闸线圈</w:t>
            </w:r>
          </w:p>
        </w:tc>
        <w:tc>
          <w:tcPr>
            <w:tcW w:w="17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821"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个</w:t>
            </w:r>
          </w:p>
        </w:tc>
        <w:tc>
          <w:tcPr>
            <w:tcW w:w="799"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val="en-US" w:eastAsia="zh-CN"/>
              </w:rPr>
            </w:pPr>
            <w:r>
              <w:rPr>
                <w:rFonts w:hint="default" w:ascii="Times New Roman" w:hAnsi="Times New Roman" w:eastAsia="方正仿宋_GBK" w:cs="Times New Roman"/>
                <w:smallCaps w:val="0"/>
                <w:sz w:val="24"/>
                <w:szCs w:val="28"/>
                <w:lang w:val="en-US" w:eastAsia="zh-CN"/>
              </w:rPr>
              <w:t>1</w:t>
            </w:r>
          </w:p>
        </w:tc>
        <w:tc>
          <w:tcPr>
            <w:tcW w:w="175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4</w:t>
            </w:r>
          </w:p>
        </w:tc>
        <w:tc>
          <w:tcPr>
            <w:tcW w:w="249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框架断路器合闸线圈</w:t>
            </w:r>
          </w:p>
        </w:tc>
        <w:tc>
          <w:tcPr>
            <w:tcW w:w="17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821"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个</w:t>
            </w:r>
          </w:p>
        </w:tc>
        <w:tc>
          <w:tcPr>
            <w:tcW w:w="799"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eastAsia="zh-CN"/>
              </w:rPr>
            </w:pPr>
            <w:r>
              <w:rPr>
                <w:rFonts w:hint="default" w:ascii="Times New Roman" w:hAnsi="Times New Roman" w:eastAsia="方正仿宋_GBK" w:cs="Times New Roman"/>
                <w:smallCaps w:val="0"/>
                <w:sz w:val="24"/>
                <w:szCs w:val="28"/>
                <w:lang w:val="en-US" w:eastAsia="zh-CN"/>
              </w:rPr>
              <w:t>1</w:t>
            </w:r>
          </w:p>
        </w:tc>
        <w:tc>
          <w:tcPr>
            <w:tcW w:w="175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bl>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专用工具及仪器</w:t>
      </w:r>
    </w:p>
    <w:tbl>
      <w:tblPr>
        <w:tblStyle w:val="11"/>
        <w:tblW w:w="0" w:type="auto"/>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232"/>
        <w:gridCol w:w="2180"/>
        <w:gridCol w:w="796"/>
        <w:gridCol w:w="816"/>
        <w:gridCol w:w="18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88" w:type="dxa"/>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序号</w:t>
            </w:r>
          </w:p>
        </w:tc>
        <w:tc>
          <w:tcPr>
            <w:tcW w:w="2232"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名称</w:t>
            </w:r>
          </w:p>
        </w:tc>
        <w:tc>
          <w:tcPr>
            <w:tcW w:w="2180"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型号及规范</w:t>
            </w:r>
          </w:p>
        </w:tc>
        <w:tc>
          <w:tcPr>
            <w:tcW w:w="796" w:type="dxa"/>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单位</w:t>
            </w:r>
          </w:p>
        </w:tc>
        <w:tc>
          <w:tcPr>
            <w:tcW w:w="816" w:type="dxa"/>
            <w:noWrap w:val="0"/>
            <w:vAlign w:val="center"/>
          </w:tcPr>
          <w:p>
            <w:pPr>
              <w:pageBreakBefore w:val="0"/>
              <w:kinsoku/>
              <w:wordWrap/>
              <w:overflowPunct/>
              <w:topLinePunct w:val="0"/>
              <w:bidi w:val="0"/>
              <w:spacing w:line="460" w:lineRule="exact"/>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数量</w:t>
            </w:r>
          </w:p>
        </w:tc>
        <w:tc>
          <w:tcPr>
            <w:tcW w:w="1808"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8"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w:t>
            </w:r>
          </w:p>
        </w:tc>
        <w:tc>
          <w:tcPr>
            <w:tcW w:w="2232" w:type="dxa"/>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2180"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c>
          <w:tcPr>
            <w:tcW w:w="796" w:type="dxa"/>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816"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c>
          <w:tcPr>
            <w:tcW w:w="1808"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8"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w:t>
            </w:r>
          </w:p>
        </w:tc>
        <w:tc>
          <w:tcPr>
            <w:tcW w:w="2232"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c>
          <w:tcPr>
            <w:tcW w:w="2180"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c>
          <w:tcPr>
            <w:tcW w:w="796" w:type="dxa"/>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816"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c>
          <w:tcPr>
            <w:tcW w:w="1808"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8"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w:t>
            </w:r>
          </w:p>
        </w:tc>
        <w:tc>
          <w:tcPr>
            <w:tcW w:w="2232"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c>
          <w:tcPr>
            <w:tcW w:w="2180"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c>
          <w:tcPr>
            <w:tcW w:w="796" w:type="dxa"/>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816" w:type="dxa"/>
            <w:noWrap w:val="0"/>
            <w:vAlign w:val="center"/>
          </w:tcPr>
          <w:p>
            <w:pPr>
              <w:pageBreakBefore w:val="0"/>
              <w:kinsoku/>
              <w:wordWrap/>
              <w:overflowPunct/>
              <w:topLinePunct w:val="0"/>
              <w:bidi w:val="0"/>
              <w:spacing w:line="460" w:lineRule="exact"/>
              <w:ind w:left="240"/>
              <w:jc w:val="center"/>
              <w:rPr>
                <w:rFonts w:hint="default" w:ascii="Times New Roman" w:hAnsi="Times New Roman" w:eastAsia="方正仿宋_GBK" w:cs="Times New Roman"/>
                <w:sz w:val="28"/>
                <w:szCs w:val="28"/>
              </w:rPr>
            </w:pPr>
          </w:p>
        </w:tc>
        <w:tc>
          <w:tcPr>
            <w:tcW w:w="1808"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方正仿宋_GBK" w:cs="Times New Roman"/>
                <w:sz w:val="28"/>
                <w:szCs w:val="28"/>
              </w:rPr>
            </w:pPr>
          </w:p>
        </w:tc>
      </w:tr>
    </w:tbl>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b/>
          <w:bCs/>
          <w:smallCaps w:val="0"/>
          <w:sz w:val="24"/>
          <w:szCs w:val="28"/>
        </w:rPr>
      </w:pP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b/>
          <w:bCs/>
          <w:smallCaps w:val="0"/>
          <w:sz w:val="24"/>
          <w:szCs w:val="28"/>
        </w:rPr>
      </w:pPr>
      <w:r>
        <w:rPr>
          <w:rFonts w:hint="default" w:ascii="Times New Roman" w:hAnsi="Times New Roman" w:eastAsia="方正仿宋_GBK" w:cs="Times New Roman"/>
          <w:b/>
          <w:bCs/>
          <w:smallCaps w:val="0"/>
          <w:sz w:val="24"/>
          <w:szCs w:val="28"/>
        </w:rPr>
        <w:t>7清洁程度、表面处理和涂层</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7.1  设备运输的同时，设备内外必须保持清洁和干燥。</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7.2全部的废物必须从每个部件内清理出去,如金属片屑、焊接余物、灰尘、碎布、破坏物的碎片和其它物等。所有的磨鳞片、铁锈、油污、油脂、粉笔迹或油漆标记和其他有害物等必须从设备的内外清除掉。</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7.3如果需要，必须根据有关的规定进行溶剂清洗和重清洗。</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7.4  投标方必须选择一种防腐蚀的涂层系统在运输、储存和本技术规范书规定的运行环境中使用。</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7.5  柜体表面采用静电喷塑工艺，开关柜颜色：业主确定</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b/>
          <w:bCs/>
          <w:smallCaps w:val="0"/>
          <w:sz w:val="24"/>
          <w:szCs w:val="28"/>
        </w:rPr>
      </w:pPr>
      <w:r>
        <w:rPr>
          <w:rFonts w:hint="default" w:ascii="Times New Roman" w:hAnsi="Times New Roman" w:eastAsia="方正仿宋_GBK" w:cs="Times New Roman"/>
          <w:b/>
          <w:bCs/>
          <w:smallCaps w:val="0"/>
          <w:sz w:val="24"/>
          <w:szCs w:val="28"/>
        </w:rPr>
        <w:t>8安装及运行维护</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8.1  安装</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投标方提供的安装、使用说明书至少应包括以下内容：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8.1.1 开箱和吊运所需的专用工具、工作程序及方法的详细说明书。</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8.1.2 当低压开关柜功能单元需拆开运输时，所有部件应清楚加以标志，这些部件的装配图应随设备一起提供。</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8.1.3 应说明产品的布置和对基础的要求（包括动、静载荷），以便根据它完成现场安装的准备工作。</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8.1.4 连接应包括下列内容：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导体的连接，通过动、热稳定试验的最小截面，防止过热和可能出现的不应有应力的措施，以及应当保证的电气间隙的规定；</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辅助回路的接线图；</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 接地线连接。</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8.1.5  应给出整个产品工厂组装和全部接线完成后的检查试验报告。</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  运行维护</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8.2.1 投标方应给出维护工作内容的说明及要求。</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8.2.2 在进行维护工作时，如果要采取安全防护措施需临时插入绝缘隔板，则应由投标方提供足够数量的隔板，同时要说明使用的条件和方法。隔板及其支持件应有足够的机械强度，以免发生意外的触电事故。</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8.2.3  断路器及其操动机构应给出以下内容：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断路器分、合闸时间和速度以及其允许的偏差；</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维护、检修周期及其需采取临时检修的判据；</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 维护、检修的程序及应注意的事项；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 主要部件的调整值及允许的误差范围。</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8.2.4  仪表、继电保护等二次回路及辅助设备应给出以下内容：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单个组件特性的出厂试验记录；</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应定期检查的部分。</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8.2.5  轴承及润滑应给出以下内容：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应进行定期检查的轴承；</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添注润滑剂（脂）应注意的事项。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8.2.6  电气连接应给出以下内容：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电气连接处应采取的防电化学腐蚀措施；</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应进行电气连接检查部位；</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 电气连接检修的工艺标准。</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8.2.7  产品对环境的适应应给出以下内容：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产品必须保持在怎样的环境条件下使用；</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关于保持清洁和防止腐蚀方法的有关说明。</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8.2.8  零、配件应给出以下内容：</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应给出维护检修中常用零部件的图表，其内容包括零部件名称、储备数量及安装使用的部位。</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8.2.9  专用工具应给出以下内容：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应注明几台同类产品备有一套专用工具；</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随开关柜供货的专用工具品种、数量清单，清单中应包括工具名称以及各工具的使用方法。</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b/>
          <w:smallCaps w:val="0"/>
          <w:sz w:val="24"/>
          <w:szCs w:val="28"/>
        </w:rPr>
      </w:pPr>
      <w:r>
        <w:rPr>
          <w:rFonts w:hint="default" w:ascii="Times New Roman" w:hAnsi="Times New Roman" w:eastAsia="方正仿宋_GBK" w:cs="Times New Roman"/>
          <w:b/>
          <w:smallCaps w:val="0"/>
          <w:sz w:val="24"/>
          <w:szCs w:val="28"/>
        </w:rPr>
        <w:t>9 技术服务和设计联络</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 投标方现场技术服务</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9.1.1 投标方现场服务人员的目的是使所供设备安全、正常投运。投标方要无偿派合格的现场服务人员。在投标阶段应提供包括服务人数的现场服务计划表（格式）。如果此人数不能满足工程需要，投标方要追加人数，且不发生费用。具体派遣人员由双方协商确定。</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9.1.2 投标方现场服务人员应具有下列资质：</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9.1.2.1 遵守法纪，遵守现场的各项规章和制度, 遵守电业安全工作规程;</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9.1.2.2 有较强的责任感和事业心，按时到位;</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9.1.2.3 了解合同设备的设计，熟悉其结构，有相同或相近机组的现场工作经验，能够正确地进行现场指导;</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9.1.2.4 身体健康，适应现场工作的条件。</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投标方要向招标方提供服务人员情况表(格式)。投标方不得提供不合格的投标方现场服务人员。</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9.1.3 投标方现场服务人员的职责</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9.1.3.1 投标方现场服务人员的任务主要包括设备催交、货物的开箱检验、设备质量问题的处理、指导安装和调试、参加试运和性能验收试验。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9.1.3.2 在安装和调试前，投标方技术服务人员应向招标方技术交底，讲解和示范将要进行的程序和方法。对重要工序（见下表），投标方技术人员要对施工情况进行确认和签证，否则招标方不能进行下一道工序。经投标方确认和签证的工序如因投标方技术服务人员指导错误而发生问题，投标方负全部责任。</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9.1.3.3 投标方现场服务人员应有权全权处理现场出现的一切技术问题。如现场发生质量问题，投标方现场人员要在招标方规定的时间内处理解决。如投标方委托招标方进行处理，投标方现场服务人员要出委托书并承担相应的经济责任。</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9.1.3.4 投标方对其现场服务人员的一切行为负全部责任。</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9.1.3.5 投标方现场服务人员的正常来去须事先与招标方协商，并得到招标方同意。</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9.2 培训</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shd w:val="pct10" w:color="auto" w:fill="FFFFFF"/>
        </w:rPr>
      </w:pPr>
      <w:r>
        <w:rPr>
          <w:rFonts w:hint="default" w:ascii="Times New Roman" w:hAnsi="Times New Roman" w:eastAsia="方正仿宋_GBK" w:cs="Times New Roman"/>
          <w:smallCaps w:val="0"/>
          <w:sz w:val="24"/>
          <w:szCs w:val="28"/>
        </w:rPr>
        <w:t>9.2.1 为使合同设备能正常安装和运行，投标方应提供相应的技术培训，培训费用由投标方承担，培训费用包括投标方教员工资、教材、图纸和手册。培训内容应与工程进度相一致。</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9.2.2 培训计划和内容由投标方在投标文件中列出。</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9.2.3 培训的时间、人数、地点等具体内容由招标方和投标方双方商定。</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9.3 设计联络</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当招标方提出设计联络要求时，投标方应无条件完全满足招标方要求。</w:t>
      </w:r>
    </w:p>
    <w:p>
      <w:pPr>
        <w:keepNext w:val="0"/>
        <w:keepLines w:val="0"/>
        <w:pageBreakBefore w:val="0"/>
        <w:kinsoku/>
        <w:wordWrap/>
        <w:overflowPunct/>
        <w:topLinePunct w:val="0"/>
        <w:bidi w:val="0"/>
        <w:spacing w:line="460" w:lineRule="exact"/>
        <w:ind w:firstLine="480" w:firstLineChars="200"/>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投标方应在技术协议中提出产品制造过程中的质量控制点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b/>
          <w:bCs/>
          <w:smallCaps w:val="0"/>
          <w:sz w:val="24"/>
          <w:szCs w:val="28"/>
        </w:rPr>
      </w:pPr>
      <w:r>
        <w:rPr>
          <w:rFonts w:hint="default" w:ascii="Times New Roman" w:hAnsi="Times New Roman" w:eastAsia="方正仿宋_GBK" w:cs="Times New Roman"/>
          <w:b/>
          <w:bCs/>
          <w:smallCaps w:val="0"/>
          <w:sz w:val="24"/>
          <w:szCs w:val="28"/>
        </w:rPr>
        <w:t>10质量保证：</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10.1  投标方应保证产品制造过程中的所有工艺、元器件（包括投标方的外购）及试验等均应符合有关规范的要求。</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10.2  产品出厂试验应有招标方人员参加，出厂试验方法由投标方提出，招标方认可。参加试验的招标方人员不签署任何质量证明，不解除投标方按合同规定应承担的责任，也不能代替招标方到货后的检验。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10.3 技术规范书签订以后，投标方应按工程设计及施工进度分批提交技术文件和图纸，必要时，招投标双方还需进行技术联络，当招标方提出设计联络要求时，投标方应无条件完全满足招标方要求。</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 10.4投标方必须提交给招标方下列文件：</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合格证书；</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投标方的数据报告；</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 柜内安装接线图；</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 材料试验报告；</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 材料的合格证书；</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f. 电气试验报告；</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 柜体结构尺寸。</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11试验规范</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val="en-US" w:eastAsia="zh-CN"/>
        </w:rPr>
        <w:t>11</w:t>
      </w:r>
      <w:r>
        <w:rPr>
          <w:rFonts w:hint="default" w:ascii="Times New Roman" w:hAnsi="Times New Roman" w:eastAsia="方正仿宋_GBK" w:cs="Times New Roman"/>
          <w:smallCaps w:val="0"/>
          <w:sz w:val="24"/>
          <w:szCs w:val="28"/>
        </w:rPr>
        <w:t>.1  型式试验项目如下:</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eastAsia="zh-CN"/>
        </w:rPr>
      </w:pPr>
      <w:r>
        <w:rPr>
          <w:rFonts w:hint="default" w:ascii="Times New Roman" w:hAnsi="Times New Roman" w:eastAsia="方正仿宋_GBK" w:cs="Times New Roman"/>
          <w:smallCaps w:val="0"/>
          <w:sz w:val="24"/>
          <w:szCs w:val="28"/>
        </w:rPr>
        <w:t>a. 一般检查</w:t>
      </w:r>
      <w:r>
        <w:rPr>
          <w:rFonts w:hint="default" w:ascii="Times New Roman" w:hAnsi="Times New Roman" w:eastAsia="方正仿宋_GBK" w:cs="Times New Roman"/>
          <w:smallCaps w:val="0"/>
          <w:sz w:val="24"/>
          <w:szCs w:val="28"/>
          <w:lang w:eastAsia="zh-CN"/>
        </w:rPr>
        <w:t>；</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绝缘试验；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 温升试验；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 机械试验；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 主回路电阻测量；</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f。 动热稳定试验；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 保护及开关关合、开断能力试验；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eastAsia="zh-CN"/>
        </w:rPr>
      </w:pPr>
      <w:r>
        <w:rPr>
          <w:rFonts w:hint="default" w:ascii="Times New Roman" w:hAnsi="Times New Roman" w:eastAsia="方正仿宋_GBK" w:cs="Times New Roman"/>
          <w:smallCaps w:val="0"/>
          <w:sz w:val="24"/>
          <w:szCs w:val="28"/>
        </w:rPr>
        <w:t>h。 防护等级检查</w:t>
      </w:r>
      <w:r>
        <w:rPr>
          <w:rFonts w:hint="default" w:ascii="Times New Roman" w:hAnsi="Times New Roman" w:eastAsia="方正仿宋_GBK" w:cs="Times New Roman"/>
          <w:smallCaps w:val="0"/>
          <w:sz w:val="24"/>
          <w:szCs w:val="28"/>
          <w:lang w:eastAsia="zh-CN"/>
        </w:rPr>
        <w:t>；</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i。  防雨试验；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j。  噪音测量；</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k。 外壳机械强度试验；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val="en-US" w:eastAsia="zh-CN"/>
        </w:rPr>
        <w:t>11.</w:t>
      </w:r>
      <w:r>
        <w:rPr>
          <w:rFonts w:hint="default" w:ascii="Times New Roman" w:hAnsi="Times New Roman" w:eastAsia="方正仿宋_GBK" w:cs="Times New Roman"/>
          <w:smallCaps w:val="0"/>
          <w:sz w:val="24"/>
          <w:szCs w:val="28"/>
        </w:rPr>
        <w:t>2  出厂试验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一般检查</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b。机械操作和机械特性试验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c.工频耐压测试</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d。仪表、指示元件等的检查</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e。高压主回路电阻测量和接地回路检查</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lang w:val="en-US" w:eastAsia="zh-CN"/>
        </w:rPr>
        <w:t>11.</w:t>
      </w:r>
      <w:r>
        <w:rPr>
          <w:rFonts w:hint="default" w:ascii="Times New Roman" w:hAnsi="Times New Roman" w:eastAsia="方正仿宋_GBK" w:cs="Times New Roman"/>
          <w:smallCaps w:val="0"/>
          <w:sz w:val="24"/>
          <w:szCs w:val="28"/>
        </w:rPr>
        <w:t>3   现场交接试验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a. 高压绝缘及辅助回路绝缘试验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b. 高、低压开关机械操作及防误试验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c．电气及非电量的测量、监测装置检验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d．高压负荷开关+熔丝保护（含缺相）试验；低压开关脱扣器及三段电流保护整定及检验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e．防护等级及噪音检验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f．空载损耗和负载损耗的测试</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g. 低压无功装置按电压及功率因素分组投退及远传试验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h．配变监测、计量、电压合格率及远程通讯等功能试验。</w:t>
      </w:r>
    </w:p>
    <w:p>
      <w:pPr>
        <w:keepNext w:val="0"/>
        <w:keepLines w:val="0"/>
        <w:pageBreakBefore w:val="0"/>
        <w:kinsoku/>
        <w:wordWrap/>
        <w:overflowPunct/>
        <w:topLinePunct w:val="0"/>
        <w:autoSpaceDE w:val="0"/>
        <w:autoSpaceDN w:val="0"/>
        <w:bidi w:val="0"/>
        <w:spacing w:line="460" w:lineRule="exact"/>
        <w:contextualSpacing/>
        <w:jc w:val="left"/>
        <w:textAlignment w:val="bottom"/>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 技术文件</w:t>
      </w:r>
    </w:p>
    <w:p>
      <w:pPr>
        <w:keepNext w:val="0"/>
        <w:keepLines w:val="0"/>
        <w:pageBreakBefore w:val="0"/>
        <w:kinsoku/>
        <w:wordWrap/>
        <w:overflowPunct/>
        <w:topLinePunct w:val="0"/>
        <w:autoSpaceDE w:val="0"/>
        <w:autoSpaceDN w:val="0"/>
        <w:bidi w:val="0"/>
        <w:spacing w:line="460" w:lineRule="exact"/>
        <w:contextualSpacing/>
        <w:jc w:val="left"/>
        <w:textAlignment w:val="bottom"/>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 投标方应在技术协议签订后一周内提供如下资料</w:t>
      </w:r>
    </w:p>
    <w:p>
      <w:pPr>
        <w:keepNext w:val="0"/>
        <w:keepLines w:val="0"/>
        <w:pageBreakBefore w:val="0"/>
        <w:kinsoku/>
        <w:wordWrap/>
        <w:overflowPunct/>
        <w:topLinePunct w:val="0"/>
        <w:autoSpaceDE w:val="0"/>
        <w:autoSpaceDN w:val="0"/>
        <w:bidi w:val="0"/>
        <w:spacing w:line="460" w:lineRule="exact"/>
        <w:contextualSpacing/>
        <w:jc w:val="left"/>
        <w:textAlignment w:val="bottom"/>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12.1.1  配电装置内各种开关柜的安装、使用说明书</w:t>
      </w:r>
    </w:p>
    <w:p>
      <w:pPr>
        <w:keepNext w:val="0"/>
        <w:keepLines w:val="0"/>
        <w:pageBreakBefore w:val="0"/>
        <w:kinsoku/>
        <w:wordWrap/>
        <w:overflowPunct/>
        <w:topLinePunct w:val="0"/>
        <w:autoSpaceDE w:val="0"/>
        <w:autoSpaceDN w:val="0"/>
        <w:bidi w:val="0"/>
        <w:spacing w:line="460" w:lineRule="exact"/>
        <w:contextualSpacing/>
        <w:jc w:val="left"/>
        <w:textAlignment w:val="bottom"/>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12.1.2  柜体外形尺寸、安装尺寸及基础开孔图</w:t>
      </w:r>
    </w:p>
    <w:p>
      <w:pPr>
        <w:keepNext w:val="0"/>
        <w:keepLines w:val="0"/>
        <w:pageBreakBefore w:val="0"/>
        <w:kinsoku/>
        <w:wordWrap/>
        <w:overflowPunct/>
        <w:topLinePunct w:val="0"/>
        <w:autoSpaceDE w:val="0"/>
        <w:autoSpaceDN w:val="0"/>
        <w:bidi w:val="0"/>
        <w:spacing w:line="460" w:lineRule="exact"/>
        <w:contextualSpacing/>
        <w:jc w:val="left"/>
        <w:textAlignment w:val="bottom"/>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12.1.3  开关柜总重量、典型部件的单重等</w:t>
      </w:r>
    </w:p>
    <w:p>
      <w:pPr>
        <w:keepNext w:val="0"/>
        <w:keepLines w:val="0"/>
        <w:pageBreakBefore w:val="0"/>
        <w:kinsoku/>
        <w:wordWrap/>
        <w:overflowPunct/>
        <w:topLinePunct w:val="0"/>
        <w:autoSpaceDE w:val="0"/>
        <w:autoSpaceDN w:val="0"/>
        <w:bidi w:val="0"/>
        <w:spacing w:line="460" w:lineRule="exact"/>
        <w:contextualSpacing/>
        <w:jc w:val="left"/>
        <w:textAlignment w:val="bottom"/>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12.1.4  各开关柜内所有元器件的安装使用说明书或样本</w:t>
      </w:r>
    </w:p>
    <w:p>
      <w:pPr>
        <w:keepNext w:val="0"/>
        <w:keepLines w:val="0"/>
        <w:pageBreakBefore w:val="0"/>
        <w:kinsoku/>
        <w:wordWrap/>
        <w:overflowPunct/>
        <w:topLinePunct w:val="0"/>
        <w:autoSpaceDE w:val="0"/>
        <w:autoSpaceDN w:val="0"/>
        <w:bidi w:val="0"/>
        <w:spacing w:line="460" w:lineRule="exact"/>
        <w:contextualSpacing/>
        <w:jc w:val="left"/>
        <w:textAlignment w:val="bottom"/>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12.1.5  设备材料清单</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12.1.6  投标方在技术协议签定后,负责二次含DCS接口原理图、接线图纸设计及一次图的完善，并须经招标方确认。</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12.1.7投标方提供的随机技术资料和图纸为每台设备</w:t>
      </w:r>
      <w:r>
        <w:rPr>
          <w:rFonts w:hint="default" w:ascii="Times New Roman" w:hAnsi="Times New Roman" w:eastAsia="方正仿宋_GBK" w:cs="Times New Roman"/>
          <w:smallCaps w:val="0"/>
          <w:color w:val="FF0000"/>
          <w:sz w:val="24"/>
          <w:szCs w:val="28"/>
        </w:rPr>
        <w:t>8</w:t>
      </w:r>
      <w:r>
        <w:rPr>
          <w:rFonts w:hint="default" w:ascii="Times New Roman" w:hAnsi="Times New Roman" w:eastAsia="方正仿宋_GBK" w:cs="Times New Roman"/>
          <w:smallCaps w:val="0"/>
          <w:sz w:val="24"/>
          <w:szCs w:val="28"/>
        </w:rPr>
        <w:t>套，电子版1套。</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12.1.8投标方在配合工程设计阶段应提供的技术资料为6套(设计院、投标方各3套)，电子文件2套（设计院、电厂各1套）。</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val="en-US" w:eastAsia="zh-CN"/>
        </w:rPr>
      </w:pPr>
      <w:bookmarkStart w:id="0" w:name="_Toc249435092"/>
      <w:bookmarkStart w:id="1" w:name="_Toc530408010"/>
      <w:bookmarkStart w:id="2" w:name="_Toc530408378"/>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eastAsia" w:ascii="Times New Roman" w:hAnsi="Times New Roman" w:eastAsia="方正仿宋_GBK" w:cs="Times New Roman"/>
          <w:smallCaps w:val="0"/>
          <w:sz w:val="24"/>
          <w:szCs w:val="28"/>
          <w:lang w:val="en-US" w:eastAsia="zh-CN"/>
        </w:rPr>
        <w:t>13</w:t>
      </w:r>
      <w:r>
        <w:rPr>
          <w:rFonts w:hint="default" w:ascii="Times New Roman" w:hAnsi="Times New Roman" w:eastAsia="方正仿宋_GBK" w:cs="Times New Roman"/>
          <w:smallCaps w:val="0"/>
          <w:sz w:val="24"/>
          <w:szCs w:val="28"/>
        </w:rPr>
        <w:t>技术资料和交付进度</w:t>
      </w:r>
      <w:bookmarkEnd w:id="0"/>
      <w:bookmarkEnd w:id="1"/>
      <w:bookmarkEnd w:id="2"/>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lang w:eastAsia="zh-CN"/>
        </w:rPr>
      </w:pPr>
      <w:bookmarkStart w:id="3" w:name="_Toc530408379"/>
      <w:bookmarkStart w:id="4" w:name="_Toc530408011"/>
      <w:bookmarkStart w:id="5" w:name="_Toc249435093"/>
      <w:bookmarkStart w:id="6" w:name="_Toc217270836"/>
      <w:bookmarkStart w:id="7" w:name="_Toc217268818"/>
      <w:bookmarkStart w:id="8" w:name="_Toc43778311"/>
      <w:bookmarkStart w:id="9" w:name="_Toc44125060"/>
      <w:r>
        <w:rPr>
          <w:rFonts w:hint="default" w:ascii="Times New Roman" w:hAnsi="Times New Roman" w:eastAsia="方正仿宋_GBK" w:cs="Times New Roman"/>
          <w:smallCaps w:val="0"/>
          <w:sz w:val="24"/>
          <w:szCs w:val="28"/>
        </w:rPr>
        <w:t>1.一般要求</w:t>
      </w:r>
      <w:bookmarkEnd w:id="3"/>
      <w:bookmarkEnd w:id="4"/>
      <w:bookmarkEnd w:id="5"/>
      <w:bookmarkEnd w:id="6"/>
      <w:bookmarkEnd w:id="7"/>
      <w:bookmarkEnd w:id="8"/>
      <w:bookmarkEnd w:id="9"/>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1.1投标方应按照中国电力工业使用的标准及响应的代码、规则对图纸编号，并且提供的资料应使用国家法定单位制即国际单位制(语言为中文)。</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1.2资料的组织结构清晰、逻辑性强。资料内容正确、准确、一致、清晰完整，满足工程要求。均需提供U盘介质电子版本。</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1.3投标方资料的提交及时、充分，满足工程进度要求。中标后，投标方应负责编写并出版所供产品的的技术协议，并经招标方和设计方确认。技术协议签定后7天内应给出全部技术资料和交付进度清单，并经招标方确认。提供最终版的正式图纸的同时，应提供正式的电子文件(图形文件采用AUTOCAD14，技术文件采用Microsoft office)，正式图纸必须加盖工厂公章或签字。</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1.4投标方提供的技术资料一般可分为配合设计阶段，设备监造检验、施工调试试运、性能试验验收和运行维护等三个方面。投标方须满足以上三个方面的具体要求。</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1.5对于其它没有列入合同技术资料清单，却是工程所必需文件和资料，一经发现，投标方应及时免费提供。</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1.6投标方要及时提供与合同设备设计制造有关的资料。</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bookmarkStart w:id="10" w:name="_Toc503324983"/>
      <w:bookmarkStart w:id="11" w:name="_Toc530408382"/>
      <w:bookmarkStart w:id="12" w:name="_Toc397175917"/>
      <w:bookmarkStart w:id="13" w:name="_Toc501726285"/>
      <w:bookmarkStart w:id="14" w:name="_Toc530408014"/>
      <w:bookmarkStart w:id="15" w:name="_Toc396529285"/>
      <w:bookmarkStart w:id="16" w:name="_Toc397174646"/>
      <w:bookmarkStart w:id="17" w:name="_Toc501336194"/>
      <w:bookmarkStart w:id="18" w:name="_Toc529353971"/>
      <w:bookmarkStart w:id="19" w:name="_Toc399318771"/>
      <w:bookmarkStart w:id="20" w:name="_Toc396988662"/>
      <w:bookmarkStart w:id="21" w:name="_Toc396527846"/>
      <w:bookmarkStart w:id="22" w:name="_Toc249435096"/>
      <w:bookmarkStart w:id="23" w:name="_Toc397131861"/>
      <w:bookmarkStart w:id="24" w:name="_Toc501783255"/>
      <w:bookmarkStart w:id="25" w:name="_Toc396528492"/>
      <w:bookmarkStart w:id="26" w:name="_Toc396528061"/>
      <w:bookmarkStart w:id="27" w:name="_Toc396990276"/>
      <w:r>
        <w:rPr>
          <w:rFonts w:hint="eastAsia" w:ascii="Times New Roman" w:hAnsi="Times New Roman" w:eastAsia="方正仿宋_GBK" w:cs="Times New Roman"/>
          <w:smallCaps w:val="0"/>
          <w:sz w:val="24"/>
          <w:szCs w:val="28"/>
          <w:lang w:val="en-US" w:eastAsia="zh-CN"/>
        </w:rPr>
        <w:t>14</w:t>
      </w:r>
      <w:r>
        <w:rPr>
          <w:rFonts w:hint="default" w:ascii="Times New Roman" w:hAnsi="Times New Roman" w:eastAsia="方正仿宋_GBK" w:cs="Times New Roman"/>
          <w:smallCaps w:val="0"/>
          <w:sz w:val="24"/>
          <w:szCs w:val="28"/>
        </w:rPr>
        <w:t>监造、检验/试验和性能验收试验</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bookmarkStart w:id="28" w:name="_Toc530408015"/>
      <w:bookmarkStart w:id="29" w:name="_Toc530408383"/>
      <w:bookmarkStart w:id="30" w:name="_Toc22837098"/>
      <w:bookmarkStart w:id="31" w:name="_Toc26177833"/>
      <w:bookmarkStart w:id="32" w:name="_Toc492803622"/>
      <w:bookmarkStart w:id="33" w:name="_Toc519920775"/>
      <w:bookmarkStart w:id="34" w:name="_Toc35311903"/>
      <w:bookmarkStart w:id="35" w:name="_Toc515702277"/>
      <w:bookmarkStart w:id="36" w:name="_Hlt492704715"/>
      <w:r>
        <w:rPr>
          <w:rFonts w:hint="default" w:ascii="Times New Roman" w:hAnsi="Times New Roman" w:eastAsia="方正仿宋_GBK" w:cs="Times New Roman"/>
          <w:smallCaps w:val="0"/>
          <w:sz w:val="24"/>
          <w:szCs w:val="28"/>
        </w:rPr>
        <w:t>1.概述</w:t>
      </w:r>
      <w:bookmarkEnd w:id="28"/>
      <w:bookmarkEnd w:id="29"/>
      <w:bookmarkStart w:id="37" w:name="_Hlt531408758"/>
      <w:bookmarkEnd w:id="37"/>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1.1本附件用于合同执行期间对投标方所提供的设备（包括对分包外购设备）进行检验、监造和性能验收试验，确保投标方所提供的设备符合附件1规定的要求。</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1.2投标方应在本合同生效后3个月内，向招标方提供与本合同设备有关的监造、检验、性能验收试验标准。有关标准应符合附件1的规定。</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bookmarkStart w:id="38" w:name="_Toc530408016"/>
      <w:bookmarkStart w:id="39" w:name="_Toc530408384"/>
      <w:r>
        <w:rPr>
          <w:rFonts w:hint="default" w:ascii="Times New Roman" w:hAnsi="Times New Roman" w:eastAsia="方正仿宋_GBK" w:cs="Times New Roman"/>
          <w:smallCaps w:val="0"/>
          <w:sz w:val="24"/>
          <w:szCs w:val="28"/>
        </w:rPr>
        <w:t>2.工厂检验</w:t>
      </w:r>
      <w:bookmarkEnd w:id="38"/>
      <w:bookmarkEnd w:id="39"/>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2.1工厂检验是质量控制的一个重要组成部分。投标方需严格进行厂内各生产环节的检验和试验。投标方提供的合同设备须签发质量证明、检验记录和测试报告，并且作为交货时质量证明文件的组成部分。</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2.2检查的范围包括原材料和元器件的进厂，部件的加工、组装、试验和出厂试验。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2.3投标方检验的结果达不到标准要求，投标方要采取措施直至满足要求，同时向招标方提交不一致性报告。投标方发生重大质量问题时应将情况及时通知招标方。</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2.4工厂检查的所有费用包括在合同设备总价中。</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bookmarkStart w:id="40" w:name="_Toc530408017"/>
      <w:bookmarkStart w:id="41" w:name="_Toc530408385"/>
      <w:r>
        <w:rPr>
          <w:rFonts w:hint="default" w:ascii="Times New Roman" w:hAnsi="Times New Roman" w:eastAsia="方正仿宋_GBK" w:cs="Times New Roman"/>
          <w:smallCaps w:val="0"/>
          <w:sz w:val="24"/>
          <w:szCs w:val="28"/>
        </w:rPr>
        <w:t>3.设备监造</w:t>
      </w:r>
      <w:bookmarkEnd w:id="40"/>
      <w:bookmarkEnd w:id="41"/>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w:t>
      </w:r>
      <w:r>
        <w:rPr>
          <w:rFonts w:hint="default" w:ascii="Times New Roman" w:hAnsi="Times New Roman" w:eastAsia="方正仿宋_GBK" w:cs="Times New Roman"/>
          <w:smallCaps w:val="0"/>
          <w:sz w:val="24"/>
          <w:szCs w:val="28"/>
          <w:lang w:val="en-US" w:eastAsia="zh-CN"/>
        </w:rPr>
        <w:t>1</w:t>
      </w:r>
      <w:r>
        <w:rPr>
          <w:rFonts w:hint="default" w:ascii="Times New Roman" w:hAnsi="Times New Roman" w:eastAsia="方正仿宋_GBK" w:cs="Times New Roman"/>
          <w:smallCaps w:val="0"/>
          <w:sz w:val="24"/>
          <w:szCs w:val="28"/>
        </w:rPr>
        <w:t>监造依据</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    根据本合同《大型电力设备质量监造暂行规定》</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rPr>
        <w:t>电力工业部、机械工业部文件电办</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lang w:val="en-US" w:eastAsia="zh-CN"/>
        </w:rPr>
        <w:t>1</w:t>
      </w:r>
      <w:r>
        <w:rPr>
          <w:rFonts w:hint="default" w:ascii="Times New Roman" w:hAnsi="Times New Roman" w:eastAsia="方正仿宋_GBK" w:cs="Times New Roman"/>
          <w:smallCaps w:val="0"/>
          <w:sz w:val="24"/>
          <w:szCs w:val="28"/>
        </w:rPr>
        <w:t>995</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rPr>
        <w:t>37号</w:t>
      </w:r>
      <w:r>
        <w:rPr>
          <w:rFonts w:hint="default" w:ascii="Times New Roman" w:hAnsi="Times New Roman" w:eastAsia="方正仿宋_GBK" w:cs="Times New Roman"/>
          <w:smallCaps w:val="0"/>
          <w:sz w:val="24"/>
          <w:szCs w:val="28"/>
          <w:lang w:eastAsia="zh-CN"/>
        </w:rPr>
        <w:t>）</w:t>
      </w:r>
      <w:r>
        <w:rPr>
          <w:rFonts w:hint="default" w:ascii="Times New Roman" w:hAnsi="Times New Roman" w:eastAsia="方正仿宋_GBK" w:cs="Times New Roman"/>
          <w:smallCaps w:val="0"/>
          <w:sz w:val="24"/>
          <w:szCs w:val="28"/>
        </w:rPr>
        <w:t>和《驻大型电力设备制造厂总代表组工作条例》的规定，以及国家有关规定。</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3.2监造方式</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文件见证，每次监造内容完成后，投标方和监造代表均须在见证表上履行签字手续。投标方复印3份，交监造代表1份。</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监造内容</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833"/>
        <w:gridCol w:w="4082"/>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序号</w:t>
            </w:r>
          </w:p>
        </w:tc>
        <w:tc>
          <w:tcPr>
            <w:tcW w:w="1833"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监造部套</w:t>
            </w:r>
          </w:p>
        </w:tc>
        <w:tc>
          <w:tcPr>
            <w:tcW w:w="4082"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监造内容</w:t>
            </w:r>
          </w:p>
        </w:tc>
        <w:tc>
          <w:tcPr>
            <w:tcW w:w="1619"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检验数量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w:t>
            </w:r>
          </w:p>
        </w:tc>
        <w:tc>
          <w:tcPr>
            <w:tcW w:w="1833"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4082"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619"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w:t>
            </w:r>
          </w:p>
        </w:tc>
        <w:tc>
          <w:tcPr>
            <w:tcW w:w="1833"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4082"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619"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3</w:t>
            </w:r>
          </w:p>
        </w:tc>
        <w:tc>
          <w:tcPr>
            <w:tcW w:w="1833"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4082"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619"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4</w:t>
            </w:r>
          </w:p>
        </w:tc>
        <w:tc>
          <w:tcPr>
            <w:tcW w:w="1833"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4082"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619"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5</w:t>
            </w:r>
          </w:p>
        </w:tc>
        <w:tc>
          <w:tcPr>
            <w:tcW w:w="1833"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4082"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619"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bl>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bookmarkStart w:id="42" w:name="_Toc218225337"/>
      <w:r>
        <w:rPr>
          <w:rFonts w:hint="default" w:ascii="Times New Roman" w:hAnsi="Times New Roman" w:eastAsia="方正仿宋_GBK" w:cs="Times New Roman"/>
          <w:smallCaps w:val="0"/>
          <w:sz w:val="24"/>
          <w:szCs w:val="28"/>
        </w:rPr>
        <w:t>投标方应根据自己的经验填写上表的监造方式（在相应方式下打ⅴ），最终由招标方确定。</w:t>
      </w:r>
      <w:bookmarkEnd w:id="30"/>
      <w:bookmarkEnd w:id="31"/>
      <w:bookmarkEnd w:id="32"/>
      <w:bookmarkEnd w:id="33"/>
      <w:bookmarkEnd w:id="34"/>
      <w:bookmarkEnd w:id="35"/>
      <w:bookmarkEnd w:id="36"/>
      <w:bookmarkEnd w:id="42"/>
      <w:bookmarkStart w:id="43" w:name="_Hlt35326409"/>
      <w:bookmarkEnd w:id="43"/>
      <w:bookmarkStart w:id="44" w:name="_Toc509466996"/>
      <w:bookmarkStart w:id="45" w:name="_Toc500238111"/>
      <w:bookmarkStart w:id="46" w:name="_Toc249435097"/>
      <w:bookmarkStart w:id="47" w:name="_Toc26177834"/>
      <w:bookmarkStart w:id="48" w:name="_Toc99782984"/>
      <w:bookmarkStart w:id="49" w:name="_Toc35311904"/>
      <w:bookmarkStart w:id="50" w:name="_Toc396990278"/>
      <w:bookmarkStart w:id="51" w:name="_Toc396529287"/>
      <w:bookmarkStart w:id="52" w:name="_Toc397174648"/>
      <w:bookmarkStart w:id="53" w:name="_Toc397131863"/>
      <w:bookmarkStart w:id="54" w:name="_Toc396527848"/>
      <w:bookmarkStart w:id="55" w:name="_Toc397175919"/>
      <w:bookmarkStart w:id="56" w:name="_Toc396988664"/>
      <w:bookmarkStart w:id="57" w:name="_Toc396528494"/>
      <w:bookmarkStart w:id="58" w:name="_Toc396528063"/>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bookmarkStart w:id="59" w:name="_Toc530408386"/>
      <w:bookmarkStart w:id="60" w:name="_Toc530408018"/>
      <w:r>
        <w:rPr>
          <w:rFonts w:hint="eastAsia" w:ascii="Times New Roman" w:hAnsi="Times New Roman" w:eastAsia="方正仿宋_GBK" w:cs="Times New Roman"/>
          <w:smallCaps w:val="0"/>
          <w:sz w:val="24"/>
          <w:szCs w:val="28"/>
          <w:lang w:val="en-US" w:eastAsia="zh-CN"/>
        </w:rPr>
        <w:t>4</w:t>
      </w:r>
      <w:r>
        <w:rPr>
          <w:rFonts w:hint="default" w:ascii="Times New Roman" w:hAnsi="Times New Roman" w:eastAsia="方正仿宋_GBK" w:cs="Times New Roman"/>
          <w:smallCaps w:val="0"/>
          <w:sz w:val="24"/>
          <w:szCs w:val="28"/>
        </w:rPr>
        <w:t>技术服务和联络</w:t>
      </w:r>
      <w:bookmarkEnd w:id="44"/>
      <w:bookmarkEnd w:id="45"/>
      <w:bookmarkEnd w:id="46"/>
      <w:bookmarkEnd w:id="47"/>
      <w:bookmarkEnd w:id="48"/>
      <w:bookmarkEnd w:id="49"/>
      <w:bookmarkEnd w:id="59"/>
      <w:bookmarkEnd w:id="60"/>
      <w:bookmarkStart w:id="61" w:name="_Toc399326517"/>
      <w:bookmarkStart w:id="62" w:name="_Toc505746939"/>
      <w:bookmarkStart w:id="63" w:name="_Toc478439473"/>
      <w:bookmarkStart w:id="64" w:name="_Toc399318773"/>
      <w:r>
        <w:rPr>
          <w:rFonts w:hint="default" w:ascii="Times New Roman" w:hAnsi="Times New Roman" w:eastAsia="方正仿宋_GBK" w:cs="Times New Roman"/>
          <w:smallCaps w:val="0"/>
          <w:sz w:val="24"/>
          <w:szCs w:val="28"/>
        </w:rPr>
        <w:t xml:space="preserve"> </w:t>
      </w:r>
      <w:bookmarkEnd w:id="50"/>
      <w:bookmarkEnd w:id="51"/>
      <w:bookmarkEnd w:id="52"/>
      <w:bookmarkEnd w:id="53"/>
      <w:bookmarkEnd w:id="54"/>
      <w:bookmarkEnd w:id="55"/>
      <w:bookmarkEnd w:id="56"/>
      <w:bookmarkEnd w:id="57"/>
      <w:bookmarkEnd w:id="58"/>
      <w:bookmarkEnd w:id="61"/>
      <w:bookmarkEnd w:id="62"/>
      <w:bookmarkEnd w:id="63"/>
      <w:bookmarkEnd w:id="64"/>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bookmarkStart w:id="65" w:name="_Toc530408019"/>
      <w:bookmarkStart w:id="66" w:name="_Toc530408387"/>
      <w:bookmarkStart w:id="67" w:name="_Toc23173976"/>
      <w:r>
        <w:rPr>
          <w:rFonts w:hint="default" w:ascii="Times New Roman" w:hAnsi="Times New Roman" w:eastAsia="方正仿宋_GBK" w:cs="Times New Roman"/>
          <w:smallCaps w:val="0"/>
          <w:sz w:val="24"/>
          <w:szCs w:val="28"/>
        </w:rPr>
        <w:t>1.投标方现场技术服务</w:t>
      </w:r>
      <w:bookmarkEnd w:id="65"/>
      <w:bookmarkEnd w:id="66"/>
      <w:bookmarkEnd w:id="67"/>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1.1投标方现场服务人员的目的是使所供设备安全、正常投运。投标方要派合格的现场服务人员。在投标阶段应提供包括服务人月数的现场服务计划表（格式）。如果此人月数不能满足工程需要，投标方要追加人月数，且不发生费用。</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现场服务计划表（格式）</w:t>
      </w:r>
    </w:p>
    <w:tbl>
      <w:tblPr>
        <w:tblStyle w:val="11"/>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977"/>
        <w:gridCol w:w="2209"/>
        <w:gridCol w:w="1522"/>
        <w:gridCol w:w="1260"/>
        <w:gridCol w:w="1260"/>
        <w:gridCol w:w="1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Pr>
        <w:tc>
          <w:tcPr>
            <w:tcW w:w="977" w:type="dxa"/>
            <w:vMerge w:val="restart"/>
            <w:tcBorders>
              <w:top w:val="single" w:color="auto" w:sz="6" w:space="0"/>
              <w:left w:val="single" w:color="auto" w:sz="6" w:space="0"/>
              <w:right w:val="single" w:color="auto" w:sz="6" w:space="0"/>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序号</w:t>
            </w:r>
          </w:p>
        </w:tc>
        <w:tc>
          <w:tcPr>
            <w:tcW w:w="2209" w:type="dxa"/>
            <w:vMerge w:val="restart"/>
            <w:tcBorders>
              <w:top w:val="single" w:color="auto" w:sz="6" w:space="0"/>
              <w:left w:val="nil"/>
              <w:right w:val="single" w:color="auto" w:sz="6" w:space="0"/>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技术服务内容</w:t>
            </w:r>
          </w:p>
        </w:tc>
        <w:tc>
          <w:tcPr>
            <w:tcW w:w="1522" w:type="dxa"/>
            <w:vMerge w:val="restart"/>
            <w:tcBorders>
              <w:top w:val="single" w:color="auto" w:sz="6" w:space="0"/>
              <w:left w:val="nil"/>
              <w:right w:val="single" w:color="auto" w:sz="6" w:space="0"/>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计划人月数</w:t>
            </w:r>
          </w:p>
        </w:tc>
        <w:tc>
          <w:tcPr>
            <w:tcW w:w="2520" w:type="dxa"/>
            <w:gridSpan w:val="2"/>
            <w:tcBorders>
              <w:top w:val="single" w:color="auto" w:sz="6" w:space="0"/>
              <w:left w:val="nil"/>
              <w:bottom w:val="single" w:color="auto" w:sz="6" w:space="0"/>
              <w:right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派出人员构成</w:t>
            </w:r>
          </w:p>
        </w:tc>
        <w:tc>
          <w:tcPr>
            <w:tcW w:w="1260" w:type="dxa"/>
            <w:vMerge w:val="restart"/>
            <w:tcBorders>
              <w:top w:val="single" w:color="auto" w:sz="6" w:space="0"/>
              <w:left w:val="single" w:color="auto" w:sz="6" w:space="0"/>
              <w:right w:val="single" w:color="auto" w:sz="6" w:space="0"/>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21" w:hRule="atLeast"/>
        </w:trPr>
        <w:tc>
          <w:tcPr>
            <w:tcW w:w="977" w:type="dxa"/>
            <w:vMerge w:val="continue"/>
            <w:tcBorders>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2209" w:type="dxa"/>
            <w:vMerge w:val="continue"/>
            <w:tcBorders>
              <w:left w:val="nil"/>
              <w:bottom w:val="single" w:color="auto" w:sz="6" w:space="0"/>
              <w:right w:val="single" w:color="auto" w:sz="6" w:space="0"/>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522" w:type="dxa"/>
            <w:vMerge w:val="continue"/>
            <w:tcBorders>
              <w:left w:val="nil"/>
              <w:bottom w:val="single" w:color="auto" w:sz="6" w:space="0"/>
              <w:right w:val="single" w:color="auto" w:sz="6" w:space="0"/>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tcBorders>
              <w:top w:val="nil"/>
              <w:left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   职称  </w:t>
            </w:r>
          </w:p>
        </w:tc>
        <w:tc>
          <w:tcPr>
            <w:tcW w:w="1260" w:type="dxa"/>
            <w:tcBorders>
              <w:top w:val="nil"/>
              <w:right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   人数 </w:t>
            </w:r>
          </w:p>
        </w:tc>
        <w:tc>
          <w:tcPr>
            <w:tcW w:w="1260" w:type="dxa"/>
            <w:vMerge w:val="continue"/>
            <w:tcBorders>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977"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2209"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522"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977"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2209"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522"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977"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2209"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522"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260" w:type="dxa"/>
            <w:tcBorders>
              <w:top w:val="nil"/>
            </w:tcBorders>
            <w:noWrap w:val="0"/>
            <w:vAlign w:val="center"/>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bl>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1.2投标方现场服务人员应具有下列资质：</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1.2.1遵守法纪，遵守现场的各项规章和制度；</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1.2.2有较强的责任感和事业心，按时到位；</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1.2.3了解合同设备的设计，熟悉其结构，有相同或相近机组的现场工作经验，能够正确地进行现场指导；</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1.2.4身体健康，适应现场工作的条件。</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1.3投标方现场服务人员的职责</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1.3.1投标方现场服务人员的任务主要包括设备催交、货物的开箱检验、设备质量问题的处理、指导安装和调试、参加试运和性能验收试验。</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1.3.2在安装和调试前，投标方技术服务人员应向招标方技术交底，讲解和示范将要进行的程序和方法。对重要工序（见下表），投标方技术人员要对施工情况进行确认和签证，否则招标方不能进行下一道工序。经投标方确认和签证的工序如因投标方技术服务人员指导错误而发生问题，投标方负全部责任。             </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投标方提供的安装、调试重要工序表</w:t>
      </w:r>
    </w:p>
    <w:tbl>
      <w:tblPr>
        <w:tblStyle w:val="11"/>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748"/>
        <w:gridCol w:w="1440"/>
        <w:gridCol w:w="4350"/>
        <w:gridCol w:w="195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blHeader/>
        </w:trPr>
        <w:tc>
          <w:tcPr>
            <w:tcW w:w="748"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序号</w:t>
            </w:r>
          </w:p>
        </w:tc>
        <w:tc>
          <w:tcPr>
            <w:tcW w:w="144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工序名称</w:t>
            </w:r>
          </w:p>
        </w:tc>
        <w:tc>
          <w:tcPr>
            <w:tcW w:w="435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    工序主要内</w:t>
            </w:r>
          </w:p>
        </w:tc>
        <w:tc>
          <w:tcPr>
            <w:tcW w:w="195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   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8"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44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435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95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8"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44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435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95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8"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44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435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c>
          <w:tcPr>
            <w:tcW w:w="1950" w:type="dxa"/>
            <w:noWrap w:val="0"/>
            <w:vAlign w:val="top"/>
          </w:tcPr>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p>
        </w:tc>
      </w:tr>
    </w:tbl>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1.3.3投标方现场服务人员应有权全权处理现场出现的一切技术和商务问题。如现场发生质量问题，投标方现场人员要在招标方规定的时间内处理解决。如投标方委托招标方进行处理，投标方现场服务人员要出委托书并承担相应的经济责任。</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1.3.4投标方对其现场服务人员的一切行为负全部责任。</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1.3.5投标方现场服务人员的正常来去和更换事先与招标方协商。</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1.4招标方的义务</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 xml:space="preserve">    招标方要配合投标方现场服务人员的工作，并在生活、交通和通讯上提供方便。</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bookmarkStart w:id="68" w:name="_Toc530408388"/>
      <w:bookmarkStart w:id="69" w:name="_Toc530408020"/>
      <w:r>
        <w:rPr>
          <w:rFonts w:hint="default" w:ascii="Times New Roman" w:hAnsi="Times New Roman" w:eastAsia="方正仿宋_GBK" w:cs="Times New Roman"/>
          <w:smallCaps w:val="0"/>
          <w:sz w:val="24"/>
          <w:szCs w:val="28"/>
        </w:rPr>
        <w:t>2 .培训</w:t>
      </w:r>
      <w:bookmarkEnd w:id="68"/>
      <w:bookmarkEnd w:id="69"/>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mallCaps w:val="0"/>
          <w:sz w:val="24"/>
          <w:szCs w:val="28"/>
        </w:rPr>
      </w:pPr>
      <w:r>
        <w:rPr>
          <w:rFonts w:hint="default" w:ascii="Times New Roman" w:hAnsi="Times New Roman" w:eastAsia="方正仿宋_GBK" w:cs="Times New Roman"/>
          <w:smallCaps w:val="0"/>
          <w:sz w:val="24"/>
          <w:szCs w:val="28"/>
        </w:rPr>
        <w:t>2.1为使合同设备能正常安装和运行，投标方有责任提供相应的技术培训。培训内容应与工程进度相一致。</w:t>
      </w:r>
    </w:p>
    <w:p>
      <w:pPr>
        <w:keepNext w:val="0"/>
        <w:keepLines w:val="0"/>
        <w:pageBreakBefore w:val="0"/>
        <w:kinsoku/>
        <w:wordWrap/>
        <w:overflowPunct/>
        <w:topLinePunct w:val="0"/>
        <w:bidi w:val="0"/>
        <w:spacing w:line="460" w:lineRule="exact"/>
        <w:contextualSpacing/>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mallCaps w:val="0"/>
          <w:sz w:val="24"/>
          <w:szCs w:val="28"/>
        </w:rPr>
        <w:t>2.2培训计划和内容由投标方在投标文件中列出（格式）。</w:t>
      </w:r>
    </w:p>
    <w:p>
      <w:pPr>
        <w:pStyle w:val="13"/>
        <w:pageBreakBefore w:val="0"/>
        <w:kinsoku/>
        <w:wordWrap/>
        <w:overflowPunct/>
        <w:topLinePunct w:val="0"/>
        <w:bidi w:val="0"/>
        <w:spacing w:line="460" w:lineRule="exact"/>
        <w:rPr>
          <w:rFonts w:hint="default" w:ascii="Times New Roman" w:hAnsi="Times New Roman" w:cs="Times New Roman"/>
        </w:rPr>
      </w:pPr>
    </w:p>
    <w:tbl>
      <w:tblPr>
        <w:tblStyle w:val="11"/>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753"/>
        <w:gridCol w:w="1751"/>
        <w:gridCol w:w="1484"/>
        <w:gridCol w:w="1260"/>
        <w:gridCol w:w="1260"/>
        <w:gridCol w:w="1080"/>
        <w:gridCol w:w="108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53" w:type="dxa"/>
            <w:tcBorders>
              <w:top w:val="single" w:color="auto" w:sz="6" w:space="0"/>
              <w:left w:val="single" w:color="auto" w:sz="6" w:space="0"/>
              <w:bottom w:val="nil"/>
              <w:right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751" w:type="dxa"/>
            <w:tcBorders>
              <w:top w:val="single" w:color="auto" w:sz="6" w:space="0"/>
              <w:left w:val="single" w:color="auto" w:sz="6" w:space="0"/>
              <w:bottom w:val="nil"/>
              <w:right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484" w:type="dxa"/>
            <w:tcBorders>
              <w:top w:val="single" w:color="auto" w:sz="6" w:space="0"/>
              <w:left w:val="single" w:color="auto" w:sz="6" w:space="0"/>
              <w:bottom w:val="nil"/>
              <w:right w:val="single" w:color="auto" w:sz="6" w:space="0"/>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2520" w:type="dxa"/>
            <w:gridSpan w:val="2"/>
            <w:tcBorders>
              <w:top w:val="single" w:color="auto" w:sz="6" w:space="0"/>
              <w:left w:val="nil"/>
              <w:bottom w:val="single" w:color="auto" w:sz="6" w:space="0"/>
              <w:right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培训教师构成</w:t>
            </w:r>
          </w:p>
        </w:tc>
        <w:tc>
          <w:tcPr>
            <w:tcW w:w="1080" w:type="dxa"/>
            <w:tcBorders>
              <w:top w:val="single" w:color="auto" w:sz="6" w:space="0"/>
              <w:left w:val="single" w:color="auto" w:sz="6" w:space="0"/>
              <w:bottom w:val="nil"/>
              <w:right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080" w:type="dxa"/>
            <w:tcBorders>
              <w:top w:val="single" w:color="auto" w:sz="6" w:space="0"/>
              <w:left w:val="single" w:color="auto" w:sz="6" w:space="0"/>
              <w:bottom w:val="nil"/>
              <w:right w:val="single" w:color="auto" w:sz="6" w:space="0"/>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53" w:type="dxa"/>
            <w:tcBorders>
              <w:top w:val="nil"/>
              <w:left w:val="single" w:color="auto" w:sz="6" w:space="0"/>
              <w:bottom w:val="single" w:color="auto" w:sz="6" w:space="0"/>
              <w:right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序号</w:t>
            </w:r>
          </w:p>
        </w:tc>
        <w:tc>
          <w:tcPr>
            <w:tcW w:w="1751" w:type="dxa"/>
            <w:tcBorders>
              <w:top w:val="nil"/>
              <w:left w:val="single" w:color="auto" w:sz="6" w:space="0"/>
              <w:bottom w:val="single" w:color="auto" w:sz="6" w:space="0"/>
              <w:right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培训内容</w:t>
            </w:r>
          </w:p>
        </w:tc>
        <w:tc>
          <w:tcPr>
            <w:tcW w:w="1484" w:type="dxa"/>
            <w:tcBorders>
              <w:top w:val="nil"/>
              <w:left w:val="single" w:color="auto" w:sz="6" w:space="0"/>
              <w:bottom w:val="single" w:color="auto" w:sz="6" w:space="0"/>
              <w:right w:val="single" w:color="auto" w:sz="6" w:space="0"/>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计划人月数</w:t>
            </w:r>
          </w:p>
        </w:tc>
        <w:tc>
          <w:tcPr>
            <w:tcW w:w="1260" w:type="dxa"/>
            <w:tcBorders>
              <w:top w:val="nil"/>
              <w:left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职称</w:t>
            </w:r>
          </w:p>
        </w:tc>
        <w:tc>
          <w:tcPr>
            <w:tcW w:w="1260" w:type="dxa"/>
            <w:tcBorders>
              <w:top w:val="nil"/>
              <w:right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人数</w:t>
            </w:r>
          </w:p>
        </w:tc>
        <w:tc>
          <w:tcPr>
            <w:tcW w:w="1080" w:type="dxa"/>
            <w:tcBorders>
              <w:top w:val="nil"/>
              <w:left w:val="single" w:color="auto" w:sz="6" w:space="0"/>
              <w:bottom w:val="single" w:color="auto" w:sz="6" w:space="0"/>
              <w:right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 地点</w:t>
            </w:r>
          </w:p>
        </w:tc>
        <w:tc>
          <w:tcPr>
            <w:tcW w:w="1080" w:type="dxa"/>
            <w:tcBorders>
              <w:top w:val="nil"/>
              <w:left w:val="single" w:color="auto" w:sz="6" w:space="0"/>
              <w:bottom w:val="single" w:color="auto" w:sz="6" w:space="0"/>
              <w:right w:val="single" w:color="auto" w:sz="6" w:space="0"/>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53"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751"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484"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260"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260"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080"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080"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53"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751"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484"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260"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260"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080"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080" w:type="dxa"/>
            <w:tcBorders>
              <w:top w:val="nil"/>
            </w:tcBorders>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53"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751"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484"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260"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260"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080"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c>
          <w:tcPr>
            <w:tcW w:w="1080" w:type="dxa"/>
            <w:noWrap w:val="0"/>
            <w:vAlign w:val="top"/>
          </w:tcPr>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p>
        </w:tc>
      </w:tr>
    </w:tbl>
    <w:p>
      <w:pPr>
        <w:pageBreakBefore w:val="0"/>
        <w:kinsoku/>
        <w:wordWrap/>
        <w:overflowPunct/>
        <w:topLinePunct w:val="0"/>
        <w:bidi w:val="0"/>
        <w:spacing w:line="460" w:lineRule="exact"/>
        <w:ind w:firstLine="560" w:firstLineChars="2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2.3培训的时间、人数、地点等具体内容由供需双方商定。</w:t>
      </w:r>
    </w:p>
    <w:p>
      <w:pPr>
        <w:pageBreakBefore w:val="0"/>
        <w:kinsoku/>
        <w:wordWrap/>
        <w:overflowPunct/>
        <w:topLinePunct w:val="0"/>
        <w:bidi w:val="0"/>
        <w:spacing w:line="460" w:lineRule="exac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投标人须为招标人免费培训足够的运行维护人员（交通费除外）。</w:t>
      </w:r>
    </w:p>
    <w:p>
      <w:pPr>
        <w:pStyle w:val="3"/>
        <w:keepNext/>
        <w:keepLines/>
        <w:pageBreakBefore w:val="0"/>
        <w:widowControl w:val="0"/>
        <w:kinsoku/>
        <w:wordWrap/>
        <w:overflowPunct/>
        <w:topLinePunct w:val="0"/>
        <w:autoSpaceDE/>
        <w:autoSpaceDN/>
        <w:bidi w:val="0"/>
        <w:adjustRightInd w:val="0"/>
        <w:snapToGrid w:val="0"/>
        <w:spacing w:before="0" w:after="0" w:line="460" w:lineRule="exact"/>
        <w:ind w:firstLine="640" w:firstLineChars="200"/>
        <w:textAlignment w:val="auto"/>
        <w:rPr>
          <w:rStyle w:val="17"/>
          <w:rFonts w:hint="default" w:ascii="Times New Roman" w:hAnsi="Times New Roman" w:eastAsia="方正黑体_GBK" w:cs="Times New Roman"/>
          <w:b w:val="0"/>
          <w:bCs w:val="0"/>
          <w:sz w:val="32"/>
          <w:szCs w:val="32"/>
        </w:rPr>
      </w:pPr>
      <w:bookmarkStart w:id="70" w:name="_Toc35311910"/>
      <w:bookmarkStart w:id="71" w:name="_Toc530408390"/>
      <w:bookmarkStart w:id="72" w:name="_Toc530408022"/>
      <w:bookmarkStart w:id="73" w:name="_Toc249435098"/>
      <w:bookmarkStart w:id="74" w:name="_Toc99782990"/>
      <w:bookmarkStart w:id="75" w:name="_Toc26177841"/>
      <w:bookmarkStart w:id="76" w:name="_Toc505746942"/>
      <w:bookmarkStart w:id="77" w:name="_Toc399326520"/>
      <w:bookmarkStart w:id="78" w:name="_Toc396528066"/>
      <w:bookmarkStart w:id="79" w:name="_Toc397174651"/>
      <w:bookmarkStart w:id="80" w:name="_Toc396529290"/>
      <w:bookmarkStart w:id="81" w:name="_Toc399318776"/>
      <w:bookmarkStart w:id="82" w:name="_Toc397131866"/>
      <w:bookmarkStart w:id="83" w:name="_Toc397175922"/>
      <w:bookmarkStart w:id="84" w:name="_Toc478439476"/>
      <w:bookmarkStart w:id="85" w:name="_Toc396528497"/>
      <w:bookmarkStart w:id="86" w:name="_Toc396527851"/>
      <w:bookmarkStart w:id="87" w:name="_Toc396988667"/>
      <w:bookmarkStart w:id="88" w:name="_Toc396990281"/>
      <w:r>
        <w:rPr>
          <w:rStyle w:val="17"/>
          <w:rFonts w:hint="eastAsia" w:ascii="Times New Roman" w:hAnsi="Times New Roman" w:eastAsia="方正黑体_GBK" w:cs="Times New Roman"/>
          <w:b w:val="0"/>
          <w:bCs w:val="0"/>
          <w:sz w:val="32"/>
          <w:szCs w:val="32"/>
          <w:lang w:val="en-US" w:eastAsia="zh-CN"/>
        </w:rPr>
        <w:t>15</w:t>
      </w:r>
      <w:r>
        <w:rPr>
          <w:rStyle w:val="17"/>
          <w:rFonts w:hint="default" w:ascii="Times New Roman" w:hAnsi="Times New Roman" w:eastAsia="方正黑体_GBK" w:cs="Times New Roman"/>
          <w:b w:val="0"/>
          <w:bCs w:val="0"/>
          <w:sz w:val="28"/>
          <w:szCs w:val="28"/>
        </w:rPr>
        <w:t>技术差异表</w:t>
      </w:r>
      <w:bookmarkEnd w:id="70"/>
      <w:bookmarkEnd w:id="71"/>
      <w:bookmarkEnd w:id="72"/>
      <w:bookmarkEnd w:id="73"/>
      <w:bookmarkEnd w:id="74"/>
      <w:bookmarkEnd w:id="75"/>
    </w:p>
    <w:tbl>
      <w:tblPr>
        <w:tblStyle w:val="11"/>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745"/>
        <w:gridCol w:w="1076"/>
        <w:gridCol w:w="2527"/>
        <w:gridCol w:w="1080"/>
        <w:gridCol w:w="322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Pr>
        <w:tc>
          <w:tcPr>
            <w:tcW w:w="745" w:type="dxa"/>
            <w:vMerge w:val="restart"/>
            <w:tcBorders>
              <w:top w:val="single" w:color="000000" w:sz="6" w:space="0"/>
              <w:lef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序号</w:t>
            </w:r>
          </w:p>
        </w:tc>
        <w:tc>
          <w:tcPr>
            <w:tcW w:w="3603" w:type="dxa"/>
            <w:gridSpan w:val="2"/>
            <w:tcBorders>
              <w:top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招标文件</w:t>
            </w:r>
          </w:p>
        </w:tc>
        <w:tc>
          <w:tcPr>
            <w:tcW w:w="4300" w:type="dxa"/>
            <w:gridSpan w:val="2"/>
            <w:tcBorders>
              <w:top w:val="single" w:color="000000" w:sz="6" w:space="0"/>
              <w:righ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投标文件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Pr>
        <w:tc>
          <w:tcPr>
            <w:tcW w:w="745" w:type="dxa"/>
            <w:vMerge w:val="continue"/>
            <w:tcBorders>
              <w:lef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76" w:type="dxa"/>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条目</w:t>
            </w:r>
          </w:p>
        </w:tc>
        <w:tc>
          <w:tcPr>
            <w:tcW w:w="2527" w:type="dxa"/>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简要内容</w:t>
            </w:r>
          </w:p>
        </w:tc>
        <w:tc>
          <w:tcPr>
            <w:tcW w:w="1080" w:type="dxa"/>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条目</w:t>
            </w:r>
          </w:p>
        </w:tc>
        <w:tc>
          <w:tcPr>
            <w:tcW w:w="3220" w:type="dxa"/>
            <w:tcBorders>
              <w:righ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简要内容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5" w:type="dxa"/>
            <w:tcBorders>
              <w:lef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76"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2527"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80"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3220" w:type="dxa"/>
            <w:tcBorders>
              <w:right w:val="single" w:color="000000" w:sz="6" w:space="0"/>
            </w:tcBorders>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5" w:type="dxa"/>
            <w:tcBorders>
              <w:lef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76"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2527"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80"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3220" w:type="dxa"/>
            <w:tcBorders>
              <w:right w:val="single" w:color="000000" w:sz="6" w:space="0"/>
            </w:tcBorders>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5" w:type="dxa"/>
            <w:tcBorders>
              <w:lef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76"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2527"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80"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3220" w:type="dxa"/>
            <w:tcBorders>
              <w:right w:val="single" w:color="000000" w:sz="6" w:space="0"/>
            </w:tcBorders>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5" w:type="dxa"/>
            <w:tcBorders>
              <w:lef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76"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2527"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80"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3220" w:type="dxa"/>
            <w:tcBorders>
              <w:right w:val="single" w:color="000000" w:sz="6" w:space="0"/>
            </w:tcBorders>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5" w:type="dxa"/>
            <w:tcBorders>
              <w:lef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76"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2527"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80"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3220" w:type="dxa"/>
            <w:tcBorders>
              <w:right w:val="single" w:color="000000" w:sz="6" w:space="0"/>
            </w:tcBorders>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5" w:type="dxa"/>
            <w:tcBorders>
              <w:lef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76"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2527"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80"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3220" w:type="dxa"/>
            <w:tcBorders>
              <w:right w:val="single" w:color="000000" w:sz="6" w:space="0"/>
            </w:tcBorders>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5" w:type="dxa"/>
            <w:tcBorders>
              <w:left w:val="single" w:color="000000" w:sz="6" w:space="0"/>
            </w:tcBorders>
            <w:noWrap w:val="0"/>
            <w:vAlign w:val="center"/>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76"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2527"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1080" w:type="dxa"/>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c>
          <w:tcPr>
            <w:tcW w:w="3220" w:type="dxa"/>
            <w:tcBorders>
              <w:right w:val="single" w:color="000000" w:sz="6" w:space="0"/>
            </w:tcBorders>
            <w:noWrap w:val="0"/>
            <w:vAlign w:val="top"/>
          </w:tcPr>
          <w:p>
            <w:pPr>
              <w:pageBreakBefore w:val="0"/>
              <w:kinsoku/>
              <w:wordWrap/>
              <w:overflowPunct/>
              <w:topLinePunct w:val="0"/>
              <w:bidi w:val="0"/>
              <w:spacing w:line="460" w:lineRule="exact"/>
              <w:jc w:val="center"/>
              <w:rPr>
                <w:rFonts w:hint="default" w:ascii="Times New Roman" w:hAnsi="Times New Roman" w:eastAsia="方正仿宋_GBK" w:cs="Times New Roman"/>
                <w:sz w:val="28"/>
                <w:szCs w:val="28"/>
              </w:rPr>
            </w:pPr>
          </w:p>
        </w:tc>
      </w:tr>
      <w:bookmarkEnd w:id="76"/>
      <w:bookmarkEnd w:id="77"/>
      <w:bookmarkEnd w:id="78"/>
      <w:bookmarkEnd w:id="79"/>
      <w:bookmarkEnd w:id="80"/>
      <w:bookmarkEnd w:id="81"/>
      <w:bookmarkEnd w:id="82"/>
      <w:bookmarkEnd w:id="83"/>
      <w:bookmarkEnd w:id="84"/>
      <w:bookmarkEnd w:id="85"/>
      <w:bookmarkEnd w:id="86"/>
      <w:bookmarkEnd w:id="87"/>
      <w:bookmarkEnd w:id="88"/>
    </w:tbl>
    <w:p>
      <w:pPr>
        <w:pStyle w:val="6"/>
        <w:pageBreakBefore w:val="0"/>
        <w:kinsoku/>
        <w:wordWrap/>
        <w:overflowPunct/>
        <w:topLinePunct w:val="0"/>
        <w:bidi w:val="0"/>
        <w:spacing w:line="460" w:lineRule="exact"/>
        <w:rPr>
          <w:rFonts w:hint="default" w:ascii="Times New Roman" w:hAnsi="Times New Roman" w:eastAsia="方正黑体_GBK" w:cs="Times New Roman"/>
          <w:b w:val="0"/>
          <w:bCs w:val="0"/>
          <w:sz w:val="28"/>
          <w:szCs w:val="28"/>
        </w:rPr>
      </w:pPr>
    </w:p>
    <w:p>
      <w:pPr>
        <w:pStyle w:val="6"/>
        <w:pageBreakBefore w:val="0"/>
        <w:kinsoku/>
        <w:wordWrap/>
        <w:overflowPunct/>
        <w:topLinePunct w:val="0"/>
        <w:bidi w:val="0"/>
        <w:spacing w:line="460" w:lineRule="exact"/>
        <w:rPr>
          <w:rFonts w:hint="eastAsia"/>
          <w:lang w:val="en-US" w:eastAsia="zh-CN"/>
        </w:rPr>
      </w:pPr>
      <w:r>
        <w:rPr>
          <w:rFonts w:hint="default" w:ascii="Times New Roman" w:hAnsi="Times New Roman" w:eastAsia="方正黑体_GBK" w:cs="Times New Roman"/>
          <w:b w:val="0"/>
          <w:bCs w:val="0"/>
          <w:sz w:val="28"/>
          <w:szCs w:val="28"/>
        </w:rPr>
        <w:t>附件</w:t>
      </w:r>
      <w:r>
        <w:rPr>
          <w:rFonts w:hint="eastAsia" w:ascii="Times New Roman" w:hAnsi="Times New Roman" w:eastAsia="方正黑体_GBK" w:cs="Times New Roman"/>
          <w:b w:val="0"/>
          <w:bCs w:val="0"/>
          <w:sz w:val="28"/>
          <w:szCs w:val="28"/>
          <w:lang w:val="en-US" w:eastAsia="zh-CN"/>
        </w:rPr>
        <w:t>4</w:t>
      </w:r>
    </w:p>
    <w:p>
      <w:pPr>
        <w:pStyle w:val="10"/>
        <w:ind w:left="0" w:leftChars="0" w:firstLine="0" w:firstLineChars="0"/>
        <w:rPr>
          <w:rFonts w:hint="eastAsia" w:ascii="方正小标宋_GBK" w:hAnsi="方正小标宋_GBK" w:eastAsia="方正小标宋_GBK" w:cs="方正小标宋_GBK"/>
          <w:sz w:val="24"/>
          <w:szCs w:val="24"/>
          <w:lang w:val="en-US" w:eastAsia="zh-CN"/>
        </w:rPr>
      </w:pPr>
      <w:r>
        <w:rPr>
          <w:rFonts w:hint="eastAsia" w:ascii="方正小标宋_GBK" w:hAnsi="方正小标宋_GBK" w:eastAsia="方正小标宋_GBK" w:cs="方正小标宋_GBK"/>
          <w:sz w:val="24"/>
          <w:szCs w:val="24"/>
          <w:lang w:val="en-US" w:eastAsia="zh-CN"/>
        </w:rPr>
        <w:t>图一：泸州380V低压开关订货图</w:t>
      </w:r>
    </w:p>
    <w:p>
      <w:pPr>
        <w:rPr>
          <w:rFonts w:hint="eastAsia" w:ascii="方正小标宋_GBK" w:hAnsi="方正小标宋_GBK" w:eastAsia="方正小标宋_GBK" w:cs="方正小标宋_GBK"/>
          <w:sz w:val="24"/>
          <w:szCs w:val="24"/>
          <w:lang w:val="en-US" w:eastAsia="zh-CN"/>
        </w:rPr>
      </w:pPr>
      <w:r>
        <w:rPr>
          <w:rFonts w:hint="eastAsia" w:ascii="方正小标宋_GBK" w:hAnsi="方正小标宋_GBK" w:eastAsia="方正小标宋_GBK" w:cs="方正小标宋_GBK"/>
          <w:sz w:val="24"/>
          <w:szCs w:val="24"/>
          <w:lang w:val="en-US" w:eastAsia="zh-CN"/>
        </w:rPr>
        <w:t>图二：热控电源配置原理图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F2EE574-60DA-4EA3-96A9-F2EBAFC611FA}"/>
  </w:font>
  <w:font w:name="等线">
    <w:panose1 w:val="02010600030101010101"/>
    <w:charset w:val="86"/>
    <w:family w:val="auto"/>
    <w:pitch w:val="default"/>
    <w:sig w:usb0="A00002BF" w:usb1="38CF7CFA" w:usb2="00000016" w:usb3="00000000" w:csb0="0004000F" w:csb1="00000000"/>
  </w:font>
  <w:font w:name="方正黑体_GBK">
    <w:altName w:val="微软雅黑"/>
    <w:panose1 w:val="03000509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2" w:fontKey="{41AFE8DE-D915-4B36-A08B-47923C7608C8}"/>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5AE98E"/>
    <w:multiLevelType w:val="singleLevel"/>
    <w:tmpl w:val="D15AE98E"/>
    <w:lvl w:ilvl="0" w:tentative="0">
      <w:start w:val="16"/>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wM2YwMWEzY2QyY2UxZDQ5MTM5NzUwMGVlYWM4NzQifQ=="/>
  </w:docVars>
  <w:rsids>
    <w:rsidRoot w:val="00000000"/>
    <w:rsid w:val="42836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paragraph" w:styleId="4">
    <w:name w:val="heading 4"/>
    <w:basedOn w:val="1"/>
    <w:next w:val="5"/>
    <w:link w:val="17"/>
    <w:qFormat/>
    <w:uiPriority w:val="0"/>
    <w:pPr>
      <w:keepLines/>
      <w:spacing w:line="360" w:lineRule="auto"/>
      <w:outlineLvl w:val="3"/>
    </w:pPr>
    <w:rPr>
      <w:b/>
      <w:kern w:val="0"/>
      <w:sz w:val="24"/>
      <w:szCs w:val="20"/>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qFormat/>
    <w:uiPriority w:val="0"/>
    <w:rPr>
      <w:sz w:val="28"/>
    </w:rPr>
  </w:style>
  <w:style w:type="paragraph" w:styleId="7">
    <w:name w:val="Body Text Indent"/>
    <w:basedOn w:val="1"/>
    <w:qFormat/>
    <w:uiPriority w:val="0"/>
    <w:pPr>
      <w:spacing w:after="120"/>
      <w:ind w:left="420" w:leftChars="200"/>
    </w:pPr>
  </w:style>
  <w:style w:type="paragraph" w:styleId="8">
    <w:name w:val="Plain Text"/>
    <w:basedOn w:val="1"/>
    <w:qFormat/>
    <w:uiPriority w:val="0"/>
    <w:pPr>
      <w:spacing w:before="260" w:after="260" w:line="360" w:lineRule="auto"/>
    </w:pPr>
    <w:rPr>
      <w:rFonts w:ascii="宋体" w:hAnsi="Courier New"/>
      <w:kern w:val="24"/>
      <w:sz w:val="24"/>
      <w:szCs w:val="20"/>
    </w:rPr>
  </w:style>
  <w:style w:type="paragraph" w:styleId="9">
    <w:name w:val="Date"/>
    <w:basedOn w:val="1"/>
    <w:next w:val="1"/>
    <w:qFormat/>
    <w:uiPriority w:val="0"/>
    <w:rPr>
      <w:sz w:val="24"/>
    </w:rPr>
  </w:style>
  <w:style w:type="paragraph" w:styleId="10">
    <w:name w:val="Body Text First Indent 2"/>
    <w:basedOn w:val="7"/>
    <w:next w:val="1"/>
    <w:qFormat/>
    <w:uiPriority w:val="0"/>
    <w:pPr>
      <w:spacing w:before="120"/>
      <w:ind w:firstLine="210"/>
      <w:jc w:val="left"/>
    </w:pPr>
  </w:style>
  <w:style w:type="paragraph" w:customStyle="1" w:styleId="13">
    <w:name w:val="四级标题"/>
    <w:basedOn w:val="9"/>
    <w:qFormat/>
    <w:uiPriority w:val="0"/>
  </w:style>
  <w:style w:type="paragraph" w:customStyle="1" w:styleId="14">
    <w:name w:val="表文"/>
    <w:basedOn w:val="1"/>
    <w:qFormat/>
    <w:uiPriority w:val="0"/>
    <w:pPr>
      <w:jc w:val="center"/>
    </w:pPr>
  </w:style>
  <w:style w:type="character" w:customStyle="1" w:styleId="15">
    <w:name w:val="NormalCharacter"/>
    <w:semiHidden/>
    <w:qFormat/>
    <w:uiPriority w:val="0"/>
  </w:style>
  <w:style w:type="character" w:customStyle="1" w:styleId="16">
    <w:name w:val="font11"/>
    <w:basedOn w:val="12"/>
    <w:qFormat/>
    <w:uiPriority w:val="0"/>
    <w:rPr>
      <w:rFonts w:hint="eastAsia" w:ascii="宋体" w:hAnsi="宋体" w:eastAsia="宋体" w:cs="宋体"/>
      <w:color w:val="000000"/>
      <w:sz w:val="24"/>
      <w:szCs w:val="24"/>
      <w:u w:val="none"/>
    </w:rPr>
  </w:style>
  <w:style w:type="character" w:customStyle="1" w:styleId="17">
    <w:name w:val="标题 4 字符"/>
    <w:link w:val="4"/>
    <w:qFormat/>
    <w:uiPriority w:val="0"/>
    <w:rPr>
      <w:b/>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2023-09-11T07:07:33Z</dcterms:created>
  <dc:creator>Administrator</dc:creator>
  <cp:lastModifiedBy>吴卓彦</cp:lastModifiedBy>
  <dcterms:modified xsi:type="dcterms:W3CDTF">2023-09-11T07:08:06Z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754CA21F73214BF6A4C4AE259A9F831D_12</vt:lpwstr>
  </property>
</Properties>
</file>